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E0E36" w14:textId="0CFA1E8C" w:rsidR="003462F8" w:rsidRPr="008B0EEF" w:rsidRDefault="003C5019">
      <w:pPr>
        <w:pStyle w:val="BodyA"/>
        <w:jc w:val="center"/>
        <w:rPr>
          <w:rFonts w:eastAsia="Helvetica Neue" w:cs="Calibri"/>
          <w:b/>
          <w:bCs/>
          <w:sz w:val="24"/>
          <w:szCs w:val="24"/>
        </w:rPr>
      </w:pPr>
      <w:bookmarkStart w:id="0" w:name="_GoBack"/>
      <w:bookmarkEnd w:id="0"/>
      <w:r w:rsidRPr="008B0EEF">
        <w:rPr>
          <w:rFonts w:cs="Calibri"/>
          <w:b/>
          <w:bCs/>
          <w:sz w:val="36"/>
          <w:szCs w:val="36"/>
        </w:rPr>
        <w:t>Peterston super Ely Community Council</w:t>
      </w:r>
    </w:p>
    <w:p w14:paraId="0C841865" w14:textId="77777777" w:rsidR="003462F8" w:rsidRPr="008B0EEF" w:rsidRDefault="003462F8">
      <w:pPr>
        <w:pStyle w:val="BodyA"/>
        <w:rPr>
          <w:rFonts w:eastAsia="Helvetica Neue" w:cs="Calibri"/>
          <w:b/>
          <w:bCs/>
          <w:sz w:val="24"/>
          <w:szCs w:val="24"/>
        </w:rPr>
      </w:pPr>
    </w:p>
    <w:p w14:paraId="42A887F3" w14:textId="52BF8AC0" w:rsidR="003462F8" w:rsidRPr="00CD0579" w:rsidRDefault="003C5019">
      <w:pPr>
        <w:pStyle w:val="BodyA"/>
        <w:jc w:val="center"/>
        <w:rPr>
          <w:b/>
          <w:sz w:val="24"/>
        </w:rPr>
      </w:pPr>
      <w:r w:rsidRPr="00CD0579">
        <w:rPr>
          <w:b/>
          <w:sz w:val="24"/>
        </w:rPr>
        <w:t>Management Agreement for operation of the Multi Use Games Area</w:t>
      </w:r>
    </w:p>
    <w:p w14:paraId="193ACF3B" w14:textId="77777777" w:rsidR="00F872D3" w:rsidRPr="00CD0579" w:rsidRDefault="00F872D3" w:rsidP="00CD0579">
      <w:pPr>
        <w:pStyle w:val="BodyA"/>
        <w:jc w:val="center"/>
        <w:rPr>
          <w:b/>
          <w:sz w:val="24"/>
        </w:rPr>
      </w:pPr>
    </w:p>
    <w:p w14:paraId="56744407" w14:textId="77777777" w:rsidR="003462F8" w:rsidRPr="00871D84" w:rsidRDefault="003462F8">
      <w:pPr>
        <w:pStyle w:val="BodyA"/>
        <w:rPr>
          <w:rFonts w:eastAsia="Helvetica Neue" w:cs="Calibri"/>
          <w:sz w:val="24"/>
          <w:szCs w:val="24"/>
        </w:rPr>
      </w:pPr>
    </w:p>
    <w:p w14:paraId="456296B6" w14:textId="5C007CD4" w:rsidR="003462F8" w:rsidRPr="00CD0579" w:rsidRDefault="003C5019" w:rsidP="00CD0579">
      <w:pPr>
        <w:pStyle w:val="BodyA"/>
        <w:spacing w:after="120" w:line="276" w:lineRule="auto"/>
        <w:rPr>
          <w:color w:val="auto"/>
          <w:sz w:val="24"/>
          <w:lang w:val="it-IT"/>
        </w:rPr>
      </w:pPr>
      <w:r w:rsidRPr="00CD0579">
        <w:rPr>
          <w:color w:val="auto"/>
          <w:sz w:val="24"/>
          <w:lang w:val="it-IT"/>
        </w:rPr>
        <w:t>This agreement is made on:</w:t>
      </w:r>
      <w:r w:rsidRPr="00CD0579">
        <w:rPr>
          <w:color w:val="auto"/>
          <w:sz w:val="24"/>
          <w:lang w:val="it-IT"/>
        </w:rPr>
        <w:tab/>
      </w:r>
      <w:r w:rsidRPr="00CD0579">
        <w:rPr>
          <w:color w:val="auto"/>
          <w:sz w:val="24"/>
          <w:lang w:val="it-IT"/>
        </w:rPr>
        <w:tab/>
        <w:t>of</w:t>
      </w:r>
      <w:r w:rsidRPr="00CD0579">
        <w:rPr>
          <w:color w:val="auto"/>
          <w:sz w:val="24"/>
          <w:lang w:val="it-IT"/>
        </w:rPr>
        <w:tab/>
      </w:r>
      <w:r w:rsidRPr="00CD0579">
        <w:rPr>
          <w:color w:val="auto"/>
          <w:sz w:val="24"/>
          <w:lang w:val="it-IT"/>
        </w:rPr>
        <w:tab/>
      </w:r>
      <w:r w:rsidR="00F872D3">
        <w:rPr>
          <w:rFonts w:cs="Calibri"/>
          <w:color w:val="auto"/>
          <w:sz w:val="24"/>
          <w:szCs w:val="24"/>
          <w:lang w:val="it-IT"/>
        </w:rPr>
        <w:t>T</w:t>
      </w:r>
      <w:r w:rsidRPr="00871D84">
        <w:rPr>
          <w:rFonts w:cs="Calibri"/>
          <w:color w:val="auto"/>
          <w:sz w:val="24"/>
          <w:szCs w:val="24"/>
          <w:lang w:val="it-IT"/>
        </w:rPr>
        <w:t xml:space="preserve">wo </w:t>
      </w:r>
      <w:r w:rsidR="00F872D3">
        <w:rPr>
          <w:rFonts w:cs="Calibri"/>
          <w:color w:val="auto"/>
          <w:sz w:val="24"/>
          <w:szCs w:val="24"/>
          <w:lang w:val="it-IT"/>
        </w:rPr>
        <w:t>T</w:t>
      </w:r>
      <w:r w:rsidRPr="00871D84">
        <w:rPr>
          <w:rFonts w:cs="Calibri"/>
          <w:color w:val="auto"/>
          <w:sz w:val="24"/>
          <w:szCs w:val="24"/>
          <w:lang w:val="it-IT"/>
        </w:rPr>
        <w:t>housand</w:t>
      </w:r>
      <w:r w:rsidRPr="00CD0579">
        <w:rPr>
          <w:color w:val="auto"/>
          <w:sz w:val="24"/>
          <w:lang w:val="it-IT"/>
        </w:rPr>
        <w:t xml:space="preserve"> and </w:t>
      </w:r>
      <w:r w:rsidR="00F872D3">
        <w:rPr>
          <w:rFonts w:cs="Calibri"/>
          <w:color w:val="auto"/>
          <w:sz w:val="24"/>
          <w:szCs w:val="24"/>
          <w:lang w:val="it-IT"/>
        </w:rPr>
        <w:t>T</w:t>
      </w:r>
      <w:r w:rsidRPr="00871D84">
        <w:rPr>
          <w:rFonts w:cs="Calibri"/>
          <w:color w:val="auto"/>
          <w:sz w:val="24"/>
          <w:szCs w:val="24"/>
          <w:lang w:val="it-IT"/>
        </w:rPr>
        <w:t>wenty</w:t>
      </w:r>
      <w:r w:rsidR="00C15B44" w:rsidRPr="00871D84">
        <w:rPr>
          <w:rFonts w:cs="Calibri"/>
          <w:color w:val="auto"/>
          <w:sz w:val="24"/>
          <w:szCs w:val="24"/>
          <w:lang w:val="it-IT"/>
        </w:rPr>
        <w:t xml:space="preserve"> </w:t>
      </w:r>
      <w:r w:rsidR="00F872D3">
        <w:rPr>
          <w:rFonts w:cs="Calibri"/>
          <w:color w:val="auto"/>
          <w:sz w:val="24"/>
          <w:szCs w:val="24"/>
          <w:lang w:val="it-IT"/>
        </w:rPr>
        <w:t>O</w:t>
      </w:r>
      <w:r w:rsidR="00C15B44" w:rsidRPr="00871D84">
        <w:rPr>
          <w:rFonts w:cs="Calibri"/>
          <w:color w:val="auto"/>
          <w:sz w:val="24"/>
          <w:szCs w:val="24"/>
          <w:lang w:val="it-IT"/>
        </w:rPr>
        <w:t>ne</w:t>
      </w:r>
      <w:r w:rsidRPr="00CD0579">
        <w:rPr>
          <w:color w:val="auto"/>
          <w:sz w:val="24"/>
          <w:lang w:val="it-IT"/>
        </w:rPr>
        <w:t xml:space="preserve"> between Peterston super Ely Community Council (PSECC) and </w:t>
      </w:r>
      <w:r w:rsidRPr="00CD0579">
        <w:rPr>
          <w:color w:val="auto"/>
          <w:sz w:val="24"/>
        </w:rPr>
        <w:t xml:space="preserve">the Peterston Tennis and Sports Club </w:t>
      </w:r>
      <w:r w:rsidRPr="00CD0579">
        <w:rPr>
          <w:color w:val="auto"/>
          <w:sz w:val="24"/>
          <w:lang w:val="it-IT"/>
        </w:rPr>
        <w:t>(TaSC).</w:t>
      </w:r>
    </w:p>
    <w:p w14:paraId="77FB7D99" w14:textId="19C1AF0E" w:rsidR="00DD5EC1" w:rsidRDefault="003C5019" w:rsidP="00F872D3">
      <w:pPr>
        <w:pStyle w:val="BodyA"/>
        <w:spacing w:after="120" w:line="276" w:lineRule="auto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PSECC holds the leasehold of the recreation ground in Peterston super Ely </w:t>
      </w:r>
      <w:r w:rsidR="00DD5EC1">
        <w:rPr>
          <w:rFonts w:cs="Calibri"/>
          <w:sz w:val="24"/>
          <w:szCs w:val="24"/>
        </w:rPr>
        <w:t xml:space="preserve">from the Vale of Glamorgan Council, </w:t>
      </w:r>
      <w:r w:rsidRPr="00871D84">
        <w:rPr>
          <w:rFonts w:cs="Calibri"/>
          <w:sz w:val="24"/>
          <w:szCs w:val="24"/>
        </w:rPr>
        <w:t xml:space="preserve">which includes the site </w:t>
      </w:r>
      <w:r w:rsidR="00DD5EC1">
        <w:rPr>
          <w:rFonts w:cs="Calibri"/>
          <w:sz w:val="24"/>
          <w:szCs w:val="24"/>
        </w:rPr>
        <w:t xml:space="preserve">of </w:t>
      </w:r>
      <w:r w:rsidRPr="00871D84">
        <w:rPr>
          <w:rFonts w:cs="Calibri"/>
          <w:sz w:val="24"/>
          <w:szCs w:val="24"/>
        </w:rPr>
        <w:t xml:space="preserve">the Multi Use Games Area (MUGA) shown in red on the attached plan.  </w:t>
      </w:r>
    </w:p>
    <w:p w14:paraId="19DDD92E" w14:textId="4DAB7381" w:rsidR="003462F8" w:rsidRPr="00B724C5" w:rsidRDefault="003C5019" w:rsidP="00F872D3">
      <w:pPr>
        <w:pStyle w:val="BodyA"/>
        <w:spacing w:after="120" w:line="276" w:lineRule="auto"/>
        <w:rPr>
          <w:rFonts w:cs="Calibri"/>
          <w:color w:val="000000" w:themeColor="text1"/>
          <w:sz w:val="24"/>
          <w:szCs w:val="24"/>
        </w:rPr>
      </w:pPr>
      <w:r w:rsidRPr="00CD0579">
        <w:rPr>
          <w:color w:val="000000" w:themeColor="text1"/>
          <w:sz w:val="24"/>
        </w:rPr>
        <w:t xml:space="preserve">This Agreement sets out the terms and conditions under which </w:t>
      </w:r>
      <w:proofErr w:type="spellStart"/>
      <w:r w:rsidRPr="00CD0579">
        <w:rPr>
          <w:color w:val="000000" w:themeColor="text1"/>
          <w:sz w:val="24"/>
        </w:rPr>
        <w:t>TaSC</w:t>
      </w:r>
      <w:proofErr w:type="spellEnd"/>
      <w:r w:rsidRPr="00CD0579">
        <w:rPr>
          <w:color w:val="000000" w:themeColor="text1"/>
          <w:sz w:val="24"/>
        </w:rPr>
        <w:t xml:space="preserve"> shall undertake the functions of management and operation of the MUGA</w:t>
      </w:r>
      <w:r w:rsidR="00DD5EC1" w:rsidRPr="00B724C5">
        <w:rPr>
          <w:rFonts w:cs="Calibri"/>
          <w:color w:val="000000" w:themeColor="text1"/>
          <w:sz w:val="24"/>
          <w:szCs w:val="24"/>
        </w:rPr>
        <w:t xml:space="preserve"> on behalf of the Community Council. L</w:t>
      </w:r>
      <w:r w:rsidR="00616B26" w:rsidRPr="00B724C5">
        <w:rPr>
          <w:rFonts w:cs="Calibri"/>
          <w:color w:val="000000" w:themeColor="text1"/>
          <w:sz w:val="24"/>
          <w:szCs w:val="24"/>
        </w:rPr>
        <w:t xml:space="preserve">egislation </w:t>
      </w:r>
      <w:r w:rsidR="00DD5EC1" w:rsidRPr="00B724C5">
        <w:rPr>
          <w:rFonts w:cs="Calibri"/>
          <w:color w:val="000000" w:themeColor="text1"/>
          <w:sz w:val="24"/>
          <w:szCs w:val="24"/>
        </w:rPr>
        <w:t>regulating the use of the MUGA</w:t>
      </w:r>
      <w:r w:rsidR="00616B26" w:rsidRPr="00B724C5">
        <w:rPr>
          <w:rFonts w:cs="Calibri"/>
          <w:color w:val="000000" w:themeColor="text1"/>
          <w:sz w:val="24"/>
          <w:szCs w:val="24"/>
        </w:rPr>
        <w:t xml:space="preserve"> </w:t>
      </w:r>
      <w:r w:rsidR="00DD5EC1" w:rsidRPr="00B724C5">
        <w:rPr>
          <w:rFonts w:cs="Calibri"/>
          <w:color w:val="000000" w:themeColor="text1"/>
          <w:sz w:val="24"/>
          <w:szCs w:val="24"/>
        </w:rPr>
        <w:t xml:space="preserve">may </w:t>
      </w:r>
      <w:r w:rsidR="00616B26" w:rsidRPr="00B724C5">
        <w:rPr>
          <w:rFonts w:cs="Calibri"/>
          <w:color w:val="000000" w:themeColor="text1"/>
          <w:sz w:val="24"/>
          <w:szCs w:val="24"/>
        </w:rPr>
        <w:t>change</w:t>
      </w:r>
      <w:r w:rsidR="00DD5EC1" w:rsidRPr="00B724C5">
        <w:rPr>
          <w:rFonts w:cs="Calibri"/>
          <w:color w:val="000000" w:themeColor="text1"/>
          <w:sz w:val="24"/>
          <w:szCs w:val="24"/>
        </w:rPr>
        <w:t xml:space="preserve"> from time to time. Where this impacts on the clauses of this agreement, the wider legislation takes the precedence in determining the </w:t>
      </w:r>
      <w:r w:rsidR="00B724C5" w:rsidRPr="00B724C5">
        <w:rPr>
          <w:rFonts w:cs="Calibri"/>
          <w:color w:val="000000" w:themeColor="text1"/>
          <w:sz w:val="24"/>
          <w:szCs w:val="24"/>
        </w:rPr>
        <w:t xml:space="preserve">operation </w:t>
      </w:r>
      <w:r w:rsidR="00DD5EC1" w:rsidRPr="00B724C5">
        <w:rPr>
          <w:rFonts w:cs="Calibri"/>
          <w:color w:val="000000" w:themeColor="text1"/>
          <w:sz w:val="24"/>
          <w:szCs w:val="24"/>
        </w:rPr>
        <w:t xml:space="preserve">of this facility. </w:t>
      </w:r>
    </w:p>
    <w:p w14:paraId="20448DC8" w14:textId="77777777" w:rsidR="00DD5EC1" w:rsidRPr="00225FFA" w:rsidRDefault="00DD5EC1">
      <w:pPr>
        <w:pStyle w:val="BodyA"/>
        <w:spacing w:after="120"/>
        <w:rPr>
          <w:bCs/>
          <w:color w:val="auto"/>
          <w:sz w:val="24"/>
        </w:rPr>
      </w:pPr>
    </w:p>
    <w:p w14:paraId="5A688DA0" w14:textId="77777777" w:rsidR="003462F8" w:rsidRPr="00871D84" w:rsidRDefault="003C5019">
      <w:pPr>
        <w:pStyle w:val="ListParagraph"/>
        <w:numPr>
          <w:ilvl w:val="0"/>
          <w:numId w:val="2"/>
        </w:numPr>
        <w:spacing w:after="120"/>
        <w:rPr>
          <w:rFonts w:cs="Calibri"/>
          <w:sz w:val="24"/>
          <w:szCs w:val="24"/>
        </w:rPr>
      </w:pP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 xml:space="preserve"> shall:</w:t>
      </w:r>
    </w:p>
    <w:p w14:paraId="780E0B76" w14:textId="26676EB5" w:rsidR="003462F8" w:rsidRPr="00761E3B" w:rsidRDefault="003C5019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761E3B">
        <w:rPr>
          <w:rFonts w:cs="Calibri"/>
          <w:sz w:val="24"/>
          <w:szCs w:val="24"/>
        </w:rPr>
        <w:t xml:space="preserve">Manage and operate </w:t>
      </w:r>
      <w:r w:rsidRPr="00761E3B">
        <w:rPr>
          <w:rFonts w:cs="Calibri"/>
          <w:sz w:val="24"/>
          <w:szCs w:val="24"/>
          <w:u w:color="FF0000"/>
        </w:rPr>
        <w:t>the</w:t>
      </w:r>
      <w:r w:rsidRPr="00761E3B">
        <w:rPr>
          <w:rFonts w:cs="Calibri"/>
          <w:sz w:val="24"/>
          <w:szCs w:val="24"/>
        </w:rPr>
        <w:t xml:space="preserve"> MUGA as a community facility. </w:t>
      </w:r>
      <w:r w:rsidR="00761E3B" w:rsidRPr="00761E3B">
        <w:rPr>
          <w:sz w:val="24"/>
          <w:szCs w:val="24"/>
        </w:rPr>
        <w:t xml:space="preserve"> The responsibilities are set out in Schedule 1 of this management agreement.</w:t>
      </w:r>
    </w:p>
    <w:p w14:paraId="4DDAB3FD" w14:textId="2939339D" w:rsidR="003462F8" w:rsidRPr="00871D84" w:rsidRDefault="00485293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Ensure the MUGA is o</w:t>
      </w:r>
      <w:r w:rsidR="00EF0F7B" w:rsidRPr="00871D84">
        <w:rPr>
          <w:rFonts w:cs="Calibri"/>
          <w:sz w:val="24"/>
          <w:szCs w:val="24"/>
        </w:rPr>
        <w:t>pen</w:t>
      </w:r>
      <w:r>
        <w:rPr>
          <w:rFonts w:cs="Calibri"/>
          <w:sz w:val="24"/>
          <w:szCs w:val="24"/>
        </w:rPr>
        <w:t xml:space="preserve">ed up and kept unlocked </w:t>
      </w:r>
      <w:r w:rsidR="00EF0F7B" w:rsidRPr="00871D84">
        <w:rPr>
          <w:rFonts w:cs="Calibri"/>
          <w:sz w:val="24"/>
          <w:szCs w:val="24"/>
        </w:rPr>
        <w:t xml:space="preserve">for use </w:t>
      </w:r>
      <w:r w:rsidR="003C5019" w:rsidRPr="00871D84">
        <w:rPr>
          <w:rFonts w:cs="Calibri"/>
          <w:sz w:val="24"/>
          <w:szCs w:val="24"/>
        </w:rPr>
        <w:t xml:space="preserve">during its </w:t>
      </w:r>
      <w:r w:rsidR="00072511" w:rsidRPr="00871D84">
        <w:rPr>
          <w:rFonts w:cs="Calibri"/>
          <w:sz w:val="24"/>
          <w:szCs w:val="24"/>
        </w:rPr>
        <w:t xml:space="preserve">permitted </w:t>
      </w:r>
      <w:r w:rsidR="003C5019" w:rsidRPr="00871D84">
        <w:rPr>
          <w:rFonts w:cs="Calibri"/>
          <w:sz w:val="24"/>
          <w:szCs w:val="24"/>
        </w:rPr>
        <w:t>hours of operation:</w:t>
      </w:r>
    </w:p>
    <w:p w14:paraId="5A37D025" w14:textId="77777777" w:rsidR="003462F8" w:rsidRPr="00871D84" w:rsidRDefault="003C5019">
      <w:pPr>
        <w:pStyle w:val="ListParagraph"/>
        <w:spacing w:after="120"/>
        <w:ind w:left="1440"/>
        <w:rPr>
          <w:rFonts w:eastAsia="Helvetica Neue"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08.00 - 21.00 Monday - Friday</w:t>
      </w:r>
    </w:p>
    <w:p w14:paraId="2A38F01D" w14:textId="73D87037" w:rsidR="003462F8" w:rsidRPr="00871D84" w:rsidRDefault="003C5019">
      <w:pPr>
        <w:pStyle w:val="ListParagraph"/>
        <w:spacing w:after="120"/>
        <w:ind w:left="1440"/>
        <w:rPr>
          <w:rFonts w:eastAsia="Helvetica Neue"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08.00 - 20.00 Saturday and Sunday</w:t>
      </w:r>
      <w:r w:rsidR="00050F82">
        <w:rPr>
          <w:rFonts w:cs="Calibri"/>
          <w:sz w:val="24"/>
          <w:szCs w:val="24"/>
        </w:rPr>
        <w:t>.</w:t>
      </w:r>
    </w:p>
    <w:p w14:paraId="7088514D" w14:textId="38A3EEEF" w:rsidR="00D34F20" w:rsidRPr="00871D84" w:rsidRDefault="00C15B44" w:rsidP="00D34F20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D34F20">
        <w:rPr>
          <w:sz w:val="24"/>
        </w:rPr>
        <w:t>R</w:t>
      </w:r>
      <w:r w:rsidR="003E529B" w:rsidRPr="00D34F20">
        <w:rPr>
          <w:sz w:val="24"/>
        </w:rPr>
        <w:t>eserve t</w:t>
      </w:r>
      <w:r w:rsidR="00EF0F7B" w:rsidRPr="00D34F20">
        <w:rPr>
          <w:sz w:val="24"/>
        </w:rPr>
        <w:t>he MUGA for</w:t>
      </w:r>
      <w:r w:rsidR="00F90790" w:rsidRPr="00D34F20">
        <w:rPr>
          <w:sz w:val="24"/>
        </w:rPr>
        <w:t xml:space="preserve"> </w:t>
      </w:r>
      <w:r w:rsidR="005453B7" w:rsidRPr="00D34F20">
        <w:rPr>
          <w:sz w:val="24"/>
        </w:rPr>
        <w:t xml:space="preserve">free open access to the </w:t>
      </w:r>
      <w:r w:rsidR="00F90790" w:rsidRPr="00D34F20">
        <w:rPr>
          <w:sz w:val="24"/>
        </w:rPr>
        <w:t>local</w:t>
      </w:r>
      <w:r w:rsidR="00EF0F7B" w:rsidRPr="00D34F20">
        <w:rPr>
          <w:sz w:val="24"/>
        </w:rPr>
        <w:t xml:space="preserve"> community use between the </w:t>
      </w:r>
      <w:proofErr w:type="gramStart"/>
      <w:r w:rsidR="00EF0F7B" w:rsidRPr="00D34F20">
        <w:rPr>
          <w:sz w:val="24"/>
        </w:rPr>
        <w:t>hours</w:t>
      </w:r>
      <w:proofErr w:type="gramEnd"/>
      <w:r w:rsidR="00EF0F7B" w:rsidRPr="00D34F20">
        <w:rPr>
          <w:sz w:val="24"/>
        </w:rPr>
        <w:t xml:space="preserve"> of 15:00 and 17:00 Monday to Friday and 14:00 to 17:00</w:t>
      </w:r>
      <w:r w:rsidR="00F90790" w:rsidRPr="00D34F20">
        <w:rPr>
          <w:sz w:val="24"/>
        </w:rPr>
        <w:t xml:space="preserve"> on Saturday and Sunday</w:t>
      </w:r>
      <w:r w:rsidR="00EF0F7B" w:rsidRPr="00D34F20">
        <w:rPr>
          <w:sz w:val="24"/>
        </w:rPr>
        <w:t>. It will not be available for organized bookings during these hours</w:t>
      </w:r>
      <w:r w:rsidR="003E529B" w:rsidRPr="00D34F20">
        <w:rPr>
          <w:sz w:val="24"/>
        </w:rPr>
        <w:t xml:space="preserve"> unless the event is organized by </w:t>
      </w:r>
      <w:proofErr w:type="spellStart"/>
      <w:r w:rsidR="003E529B" w:rsidRPr="00D34F20">
        <w:rPr>
          <w:sz w:val="24"/>
        </w:rPr>
        <w:t>TaSC</w:t>
      </w:r>
      <w:proofErr w:type="spellEnd"/>
      <w:r w:rsidR="003E529B" w:rsidRPr="00D34F20">
        <w:rPr>
          <w:sz w:val="24"/>
        </w:rPr>
        <w:t xml:space="preserve"> or the PSECC.</w:t>
      </w:r>
      <w:r w:rsidR="00D34F20">
        <w:rPr>
          <w:sz w:val="24"/>
        </w:rPr>
        <w:t xml:space="preserve">  </w:t>
      </w:r>
      <w:proofErr w:type="spellStart"/>
      <w:r w:rsidR="00D34F20">
        <w:rPr>
          <w:sz w:val="24"/>
          <w:szCs w:val="24"/>
        </w:rPr>
        <w:t>TaSC</w:t>
      </w:r>
      <w:proofErr w:type="spellEnd"/>
      <w:r w:rsidR="00D34F20">
        <w:rPr>
          <w:sz w:val="24"/>
          <w:szCs w:val="24"/>
        </w:rPr>
        <w:t xml:space="preserve"> should aim for a minimum of five of these non-bookable slots to be available every week, and where practicable provide replacement slots close to the original slot.</w:t>
      </w:r>
      <w:r w:rsidR="00D34F20" w:rsidRPr="00D34F20">
        <w:rPr>
          <w:rFonts w:cs="Calibri"/>
          <w:sz w:val="24"/>
          <w:szCs w:val="24"/>
        </w:rPr>
        <w:t xml:space="preserve"> </w:t>
      </w:r>
    </w:p>
    <w:p w14:paraId="656045C0" w14:textId="56B81EF4" w:rsidR="003462F8" w:rsidRPr="00D34F20" w:rsidRDefault="003462F8" w:rsidP="00D34F20">
      <w:pPr>
        <w:rPr>
          <w:rFonts w:cs="Calibri"/>
        </w:rPr>
      </w:pPr>
    </w:p>
    <w:p w14:paraId="3960BFF3" w14:textId="127DDD9D" w:rsidR="003462F8" w:rsidRPr="00871D84" w:rsidRDefault="002253AB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Operate a booking system for organized groups or individuals to reserve all or part of the MUGA outside the reserved slots in c) above. </w:t>
      </w:r>
      <w:r w:rsidR="003C5019" w:rsidRPr="00871D84">
        <w:rPr>
          <w:rFonts w:cs="Calibri"/>
          <w:sz w:val="24"/>
          <w:szCs w:val="24"/>
        </w:rPr>
        <w:t xml:space="preserve">Charge appropriate fees </w:t>
      </w:r>
      <w:r w:rsidRPr="00871D84">
        <w:rPr>
          <w:rFonts w:cs="Calibri"/>
          <w:sz w:val="24"/>
          <w:szCs w:val="24"/>
        </w:rPr>
        <w:t>for such bookings</w:t>
      </w:r>
      <w:r w:rsidR="003C5019" w:rsidRPr="00871D84">
        <w:rPr>
          <w:rFonts w:cs="Calibri"/>
          <w:strike/>
          <w:sz w:val="24"/>
          <w:szCs w:val="24"/>
        </w:rPr>
        <w:t xml:space="preserve"> </w:t>
      </w:r>
    </w:p>
    <w:p w14:paraId="4FB0A804" w14:textId="2B5150BB" w:rsidR="003462F8" w:rsidRPr="00A57045" w:rsidRDefault="003E529B">
      <w:pPr>
        <w:pStyle w:val="ListParagraph"/>
        <w:numPr>
          <w:ilvl w:val="1"/>
          <w:numId w:val="4"/>
        </w:numPr>
        <w:spacing w:after="120"/>
        <w:rPr>
          <w:sz w:val="24"/>
        </w:rPr>
      </w:pPr>
      <w:r w:rsidRPr="00871D84">
        <w:rPr>
          <w:rFonts w:cs="Calibri"/>
          <w:sz w:val="24"/>
          <w:szCs w:val="24"/>
        </w:rPr>
        <w:t xml:space="preserve">Ensure that when the MUGA is not booked it should be available for </w:t>
      </w:r>
      <w:r w:rsidR="00BA7BE4" w:rsidRPr="00871D84">
        <w:rPr>
          <w:rFonts w:cs="Calibri"/>
          <w:sz w:val="24"/>
          <w:szCs w:val="24"/>
        </w:rPr>
        <w:t xml:space="preserve">free </w:t>
      </w:r>
      <w:r w:rsidRPr="00871D84">
        <w:rPr>
          <w:rFonts w:cs="Calibri"/>
          <w:sz w:val="24"/>
          <w:szCs w:val="24"/>
        </w:rPr>
        <w:t xml:space="preserve">community use, unless this is not possible for maintenance or other reasons.   </w:t>
      </w:r>
      <w:r w:rsidR="0093382E" w:rsidRPr="00871D84">
        <w:rPr>
          <w:rFonts w:cs="Calibri"/>
          <w:sz w:val="24"/>
          <w:szCs w:val="24"/>
        </w:rPr>
        <w:t>TASC will inform PSECC by email if the MUGA is required to be closed at short notice</w:t>
      </w:r>
      <w:r w:rsidR="00B724C5">
        <w:rPr>
          <w:rFonts w:cs="Calibri"/>
          <w:sz w:val="24"/>
          <w:szCs w:val="24"/>
        </w:rPr>
        <w:t>.</w:t>
      </w:r>
      <w:r w:rsidR="00B724C5" w:rsidRPr="00A57045">
        <w:rPr>
          <w:sz w:val="24"/>
        </w:rPr>
        <w:t xml:space="preserve"> </w:t>
      </w:r>
    </w:p>
    <w:p w14:paraId="472A7A05" w14:textId="47D7B67D" w:rsidR="003462F8" w:rsidRPr="00871D84" w:rsidRDefault="003C5019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lastRenderedPageBreak/>
        <w:t xml:space="preserve">Ensure, where possible, that priority for bookable slots </w:t>
      </w:r>
      <w:r w:rsidRPr="00871D84">
        <w:rPr>
          <w:rFonts w:cs="Calibri"/>
          <w:sz w:val="24"/>
          <w:szCs w:val="24"/>
          <w:u w:color="FF0000"/>
        </w:rPr>
        <w:t>is</w:t>
      </w:r>
      <w:r w:rsidRPr="00871D84">
        <w:rPr>
          <w:rFonts w:cs="Calibri"/>
          <w:sz w:val="24"/>
          <w:szCs w:val="24"/>
        </w:rPr>
        <w:t xml:space="preserve"> given to local people</w:t>
      </w:r>
      <w:r w:rsidR="002253AB" w:rsidRPr="00871D84">
        <w:rPr>
          <w:rFonts w:cs="Calibri"/>
          <w:sz w:val="24"/>
          <w:szCs w:val="24"/>
        </w:rPr>
        <w:t xml:space="preserve"> and </w:t>
      </w:r>
      <w:proofErr w:type="spellStart"/>
      <w:r w:rsidR="002253AB" w:rsidRPr="00871D84">
        <w:rPr>
          <w:rFonts w:cs="Calibri"/>
          <w:sz w:val="24"/>
          <w:szCs w:val="24"/>
        </w:rPr>
        <w:t>organisations</w:t>
      </w:r>
      <w:proofErr w:type="spellEnd"/>
      <w:r w:rsidR="00B724C5">
        <w:rPr>
          <w:rStyle w:val="FootnoteReference"/>
          <w:rFonts w:cs="Calibri"/>
          <w:sz w:val="24"/>
          <w:szCs w:val="24"/>
        </w:rPr>
        <w:footnoteReference w:id="2"/>
      </w:r>
      <w:r w:rsidRPr="00871D84">
        <w:rPr>
          <w:rFonts w:cs="Calibri"/>
          <w:sz w:val="24"/>
          <w:szCs w:val="24"/>
        </w:rPr>
        <w:t xml:space="preserve">. </w:t>
      </w:r>
    </w:p>
    <w:p w14:paraId="07C508F5" w14:textId="5846BB15" w:rsidR="001F0B8C" w:rsidRPr="00485293" w:rsidRDefault="003C5019" w:rsidP="00F212B2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Be a not-for</w:t>
      </w:r>
      <w:r w:rsidRPr="00871D84">
        <w:rPr>
          <w:rFonts w:cs="Calibri"/>
          <w:color w:val="FF0000"/>
          <w:sz w:val="24"/>
          <w:szCs w:val="24"/>
          <w:u w:color="FF0000"/>
        </w:rPr>
        <w:t>-</w:t>
      </w:r>
      <w:r w:rsidRPr="00871D84">
        <w:rPr>
          <w:rFonts w:cs="Calibri"/>
          <w:sz w:val="24"/>
          <w:szCs w:val="24"/>
        </w:rPr>
        <w:t xml:space="preserve">profit </w:t>
      </w:r>
      <w:proofErr w:type="spellStart"/>
      <w:r w:rsidRPr="00871D84">
        <w:rPr>
          <w:rFonts w:cs="Calibri"/>
          <w:sz w:val="24"/>
          <w:szCs w:val="24"/>
        </w:rPr>
        <w:t>organisation</w:t>
      </w:r>
      <w:proofErr w:type="spellEnd"/>
      <w:r w:rsidRPr="00871D84">
        <w:rPr>
          <w:rFonts w:cs="Calibri"/>
          <w:sz w:val="24"/>
          <w:szCs w:val="24"/>
        </w:rPr>
        <w:t xml:space="preserve">. </w:t>
      </w:r>
      <w:r w:rsidR="00983140">
        <w:rPr>
          <w:rFonts w:cs="Calibri"/>
          <w:sz w:val="24"/>
          <w:szCs w:val="24"/>
        </w:rPr>
        <w:t xml:space="preserve"> All funds </w:t>
      </w:r>
      <w:proofErr w:type="gramStart"/>
      <w:r w:rsidRPr="00871D84">
        <w:rPr>
          <w:rFonts w:cs="Calibri"/>
          <w:sz w:val="24"/>
          <w:szCs w:val="24"/>
        </w:rPr>
        <w:t>raised</w:t>
      </w:r>
      <w:proofErr w:type="gramEnd"/>
      <w:r w:rsidRPr="00871D84">
        <w:rPr>
          <w:rFonts w:cs="Calibri"/>
          <w:sz w:val="24"/>
          <w:szCs w:val="24"/>
        </w:rPr>
        <w:t xml:space="preserve"> from bookings, grants, fund raising and donations must be reinvested into the MUGA.  This will pay for </w:t>
      </w:r>
      <w:r w:rsidR="00FA167A">
        <w:rPr>
          <w:rFonts w:cs="Calibri"/>
          <w:sz w:val="24"/>
          <w:szCs w:val="24"/>
          <w:u w:color="FF0000"/>
        </w:rPr>
        <w:t xml:space="preserve">expenditure </w:t>
      </w:r>
      <w:r w:rsidR="001F0B8C" w:rsidRPr="00871D84">
        <w:rPr>
          <w:rFonts w:cs="Calibri"/>
          <w:sz w:val="24"/>
          <w:szCs w:val="24"/>
          <w:u w:color="FF0000"/>
        </w:rPr>
        <w:t xml:space="preserve">in relation to the successful running of the MUGA. </w:t>
      </w:r>
    </w:p>
    <w:p w14:paraId="347DB19F" w14:textId="4F18FA08" w:rsidR="003462F8" w:rsidRPr="00871D84" w:rsidRDefault="000552CD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Ensure </w:t>
      </w:r>
      <w:r w:rsidR="00945544">
        <w:rPr>
          <w:rFonts w:cs="Calibri"/>
          <w:sz w:val="24"/>
          <w:szCs w:val="24"/>
        </w:rPr>
        <w:t>r</w:t>
      </w:r>
      <w:r w:rsidR="003C5019" w:rsidRPr="00871D84">
        <w:rPr>
          <w:rFonts w:cs="Calibri"/>
          <w:sz w:val="24"/>
          <w:szCs w:val="24"/>
        </w:rPr>
        <w:t>e</w:t>
      </w:r>
      <w:r w:rsidR="00945544">
        <w:rPr>
          <w:rFonts w:cs="Calibri"/>
          <w:sz w:val="24"/>
          <w:szCs w:val="24"/>
        </w:rPr>
        <w:t>serves</w:t>
      </w:r>
      <w:r w:rsidR="003C5019" w:rsidRPr="00871D84">
        <w:rPr>
          <w:rFonts w:cs="Calibri"/>
          <w:sz w:val="24"/>
          <w:szCs w:val="24"/>
        </w:rPr>
        <w:t xml:space="preserve"> </w:t>
      </w:r>
      <w:r w:rsidR="00871D84" w:rsidRPr="00871D84">
        <w:rPr>
          <w:rFonts w:cs="Calibri"/>
          <w:sz w:val="24"/>
          <w:szCs w:val="24"/>
        </w:rPr>
        <w:t xml:space="preserve">accrue year on year, where possible. </w:t>
      </w:r>
      <w:r w:rsidR="00B724C5">
        <w:rPr>
          <w:rFonts w:cs="Calibri"/>
          <w:sz w:val="24"/>
          <w:szCs w:val="24"/>
        </w:rPr>
        <w:t>Reserve</w:t>
      </w:r>
      <w:r w:rsidR="006E5E76" w:rsidRPr="00871D84">
        <w:rPr>
          <w:rFonts w:cs="Calibri"/>
          <w:sz w:val="24"/>
          <w:szCs w:val="24"/>
        </w:rPr>
        <w:t xml:space="preserve"> funds will </w:t>
      </w:r>
      <w:r>
        <w:rPr>
          <w:rFonts w:cs="Calibri"/>
          <w:sz w:val="24"/>
          <w:szCs w:val="24"/>
        </w:rPr>
        <w:t xml:space="preserve">be </w:t>
      </w:r>
      <w:r w:rsidR="00B724C5">
        <w:rPr>
          <w:rFonts w:cs="Calibri"/>
          <w:sz w:val="24"/>
          <w:szCs w:val="24"/>
        </w:rPr>
        <w:t xml:space="preserve">specifically earmarked for </w:t>
      </w:r>
      <w:r>
        <w:rPr>
          <w:rFonts w:cs="Calibri"/>
          <w:sz w:val="24"/>
          <w:szCs w:val="24"/>
        </w:rPr>
        <w:t xml:space="preserve">the </w:t>
      </w:r>
      <w:r w:rsidR="00D518DC">
        <w:rPr>
          <w:rFonts w:cs="Calibri"/>
          <w:sz w:val="24"/>
          <w:szCs w:val="24"/>
        </w:rPr>
        <w:t xml:space="preserve">major </w:t>
      </w:r>
      <w:r w:rsidR="00F212B2" w:rsidRPr="00871D84">
        <w:rPr>
          <w:rFonts w:cs="Calibri"/>
          <w:sz w:val="24"/>
          <w:szCs w:val="24"/>
        </w:rPr>
        <w:t xml:space="preserve">costs associated with the </w:t>
      </w:r>
      <w:r w:rsidR="006E5E76" w:rsidRPr="00871D84">
        <w:rPr>
          <w:rFonts w:cs="Calibri"/>
          <w:sz w:val="24"/>
          <w:szCs w:val="24"/>
        </w:rPr>
        <w:t>MUGA</w:t>
      </w:r>
      <w:r w:rsidR="00485293">
        <w:rPr>
          <w:rFonts w:cs="Calibri"/>
          <w:sz w:val="24"/>
          <w:szCs w:val="24"/>
        </w:rPr>
        <w:t xml:space="preserve"> </w:t>
      </w:r>
      <w:r w:rsidR="00D518DC">
        <w:rPr>
          <w:rFonts w:cs="Calibri"/>
          <w:sz w:val="24"/>
          <w:szCs w:val="24"/>
        </w:rPr>
        <w:t>structure</w:t>
      </w:r>
      <w:r w:rsidR="00A828E2">
        <w:rPr>
          <w:rFonts w:cs="Calibri"/>
          <w:sz w:val="24"/>
          <w:szCs w:val="24"/>
        </w:rPr>
        <w:t xml:space="preserve">. </w:t>
      </w:r>
    </w:p>
    <w:p w14:paraId="5513E89E" w14:textId="52EBFF25" w:rsidR="003462F8" w:rsidRPr="00225FFA" w:rsidRDefault="00225FFA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225FFA">
        <w:rPr>
          <w:sz w:val="24"/>
          <w:szCs w:val="24"/>
        </w:rPr>
        <w:t xml:space="preserve">Maintain the MUGA facility and club room, including implementing the jointly agreed maintenance plan; and reporting maintenance and safety issues to PSE CC in a timely manner. Major contracts and costs will be jointly agreed by </w:t>
      </w:r>
      <w:proofErr w:type="spellStart"/>
      <w:r w:rsidRPr="00225FFA">
        <w:rPr>
          <w:sz w:val="24"/>
          <w:szCs w:val="24"/>
        </w:rPr>
        <w:t>TaSC</w:t>
      </w:r>
      <w:proofErr w:type="spellEnd"/>
      <w:r w:rsidRPr="00225FFA">
        <w:rPr>
          <w:sz w:val="24"/>
          <w:szCs w:val="24"/>
        </w:rPr>
        <w:t xml:space="preserve"> and PSE </w:t>
      </w:r>
      <w:proofErr w:type="gramStart"/>
      <w:r w:rsidRPr="00225FFA">
        <w:rPr>
          <w:sz w:val="24"/>
          <w:szCs w:val="24"/>
        </w:rPr>
        <w:t>CC.</w:t>
      </w:r>
      <w:r w:rsidR="00CA00F2" w:rsidRPr="00225FFA">
        <w:rPr>
          <w:rFonts w:cs="Calibri"/>
          <w:sz w:val="24"/>
          <w:szCs w:val="24"/>
        </w:rPr>
        <w:t>.</w:t>
      </w:r>
      <w:proofErr w:type="gramEnd"/>
      <w:r w:rsidR="00CA00F2" w:rsidRPr="00225FFA">
        <w:rPr>
          <w:rFonts w:cs="Calibri"/>
          <w:sz w:val="24"/>
          <w:szCs w:val="24"/>
        </w:rPr>
        <w:t xml:space="preserve"> </w:t>
      </w:r>
    </w:p>
    <w:p w14:paraId="77CFD6A7" w14:textId="16BAA688" w:rsidR="003462F8" w:rsidRPr="00871D84" w:rsidRDefault="003C5019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Take out appropriate insurance cover</w:t>
      </w:r>
      <w:r w:rsidR="00A57045">
        <w:rPr>
          <w:rFonts w:cs="Calibri"/>
          <w:sz w:val="24"/>
          <w:szCs w:val="24"/>
        </w:rPr>
        <w:t>.</w:t>
      </w:r>
    </w:p>
    <w:p w14:paraId="7B6ABC07" w14:textId="77777777" w:rsidR="003462F8" w:rsidRPr="00871D84" w:rsidRDefault="003C5019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Provide the following documents to PSECC on an annual basis by 30</w:t>
      </w:r>
      <w:r w:rsidRPr="00871D84">
        <w:rPr>
          <w:rFonts w:cs="Calibri"/>
          <w:sz w:val="24"/>
          <w:szCs w:val="24"/>
          <w:vertAlign w:val="superscript"/>
        </w:rPr>
        <w:t>th</w:t>
      </w:r>
      <w:r w:rsidRPr="00871D84">
        <w:rPr>
          <w:rFonts w:cs="Calibri"/>
          <w:sz w:val="24"/>
          <w:szCs w:val="24"/>
        </w:rPr>
        <w:t xml:space="preserve"> June each year:</w:t>
      </w:r>
      <w:r w:rsidRPr="00871D84">
        <w:rPr>
          <w:rFonts w:eastAsia="Helvetica Neue" w:cs="Calibri"/>
          <w:sz w:val="24"/>
          <w:szCs w:val="24"/>
        </w:rPr>
        <w:br/>
      </w:r>
    </w:p>
    <w:p w14:paraId="48BC4005" w14:textId="77777777" w:rsidR="003462F8" w:rsidRPr="00871D84" w:rsidRDefault="003C5019">
      <w:pPr>
        <w:pStyle w:val="ListParagraph"/>
        <w:numPr>
          <w:ilvl w:val="2"/>
          <w:numId w:val="6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A plan for operation and development of MUGA activities in the next year. </w:t>
      </w:r>
    </w:p>
    <w:p w14:paraId="78F0D3CF" w14:textId="26DB7364" w:rsidR="003462F8" w:rsidRPr="00871D84" w:rsidRDefault="003C5019">
      <w:pPr>
        <w:pStyle w:val="ListParagraph"/>
        <w:numPr>
          <w:ilvl w:val="2"/>
          <w:numId w:val="6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A report on the use made of the MUGA in the previous year.</w:t>
      </w:r>
    </w:p>
    <w:p w14:paraId="4BE68185" w14:textId="0DC4886F" w:rsidR="000F2BEB" w:rsidRPr="00871D84" w:rsidRDefault="000F2BEB">
      <w:pPr>
        <w:pStyle w:val="ListParagraph"/>
        <w:numPr>
          <w:ilvl w:val="2"/>
          <w:numId w:val="6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Annual return and financial accounts in relation to Charity Commission. </w:t>
      </w:r>
    </w:p>
    <w:p w14:paraId="2E84364F" w14:textId="77777777" w:rsidR="003462F8" w:rsidRPr="00871D84" w:rsidRDefault="003C5019">
      <w:pPr>
        <w:pStyle w:val="ListParagraph"/>
        <w:numPr>
          <w:ilvl w:val="2"/>
          <w:numId w:val="6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Details of insurance held for the MUGA and </w:t>
      </w: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 xml:space="preserve"> trustees.</w:t>
      </w:r>
    </w:p>
    <w:p w14:paraId="0886FA13" w14:textId="77777777" w:rsidR="003462F8" w:rsidRPr="00871D84" w:rsidRDefault="003C5019">
      <w:pPr>
        <w:pStyle w:val="ListParagraph"/>
        <w:numPr>
          <w:ilvl w:val="1"/>
          <w:numId w:val="4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Meet with representatives of PSECC a minimum of twice per year to discuss operation of the MUGA.</w:t>
      </w:r>
    </w:p>
    <w:p w14:paraId="3D3472D6" w14:textId="77777777" w:rsidR="003462F8" w:rsidRPr="00871D84" w:rsidRDefault="003462F8">
      <w:pPr>
        <w:pStyle w:val="ListParagraph"/>
        <w:spacing w:after="120"/>
        <w:ind w:left="0"/>
        <w:rPr>
          <w:rFonts w:eastAsia="Helvetica Neue" w:cs="Calibri"/>
          <w:sz w:val="24"/>
          <w:szCs w:val="24"/>
        </w:rPr>
      </w:pPr>
    </w:p>
    <w:p w14:paraId="20263D9B" w14:textId="77777777" w:rsidR="003462F8" w:rsidRPr="00871D84" w:rsidRDefault="003C5019">
      <w:pPr>
        <w:pStyle w:val="ListParagraph"/>
        <w:numPr>
          <w:ilvl w:val="0"/>
          <w:numId w:val="7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PSECC shall:</w:t>
      </w:r>
    </w:p>
    <w:p w14:paraId="62D6579D" w14:textId="602DA301" w:rsidR="000F2BEB" w:rsidRPr="00761E3B" w:rsidRDefault="00761E3B" w:rsidP="006643E2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 w:rsidRPr="00761E3B">
        <w:rPr>
          <w:sz w:val="24"/>
          <w:szCs w:val="24"/>
        </w:rPr>
        <w:t>Ensure the condition of the MUGA facility and club house, which are CC assets, is maintained at a good standard for the long term.  The responsibilities are set out in Schedule 2 of this management agreement.</w:t>
      </w:r>
      <w:r w:rsidR="003C5019" w:rsidRPr="00761E3B">
        <w:rPr>
          <w:rFonts w:cs="Calibri"/>
          <w:sz w:val="24"/>
          <w:szCs w:val="24"/>
          <w:shd w:val="clear" w:color="auto" w:fill="FEFFFF"/>
        </w:rPr>
        <w:t xml:space="preserve"> </w:t>
      </w:r>
      <w:r w:rsidR="006643E2" w:rsidRPr="00761E3B">
        <w:rPr>
          <w:rFonts w:cs="Calibri"/>
          <w:sz w:val="24"/>
          <w:szCs w:val="24"/>
          <w:shd w:val="clear" w:color="auto" w:fill="FEFFFF"/>
        </w:rPr>
        <w:t xml:space="preserve"> </w:t>
      </w:r>
    </w:p>
    <w:p w14:paraId="50340EB3" w14:textId="5BE788B2" w:rsidR="003462F8" w:rsidRPr="00871D84" w:rsidRDefault="00525FD4" w:rsidP="00525FD4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  <w:shd w:val="clear" w:color="auto" w:fill="FEFFFF"/>
        </w:rPr>
        <w:t>Take out appropriate insurance cover</w:t>
      </w:r>
      <w:r w:rsidR="00F16F91">
        <w:rPr>
          <w:rFonts w:cs="Calibri"/>
          <w:sz w:val="24"/>
          <w:szCs w:val="24"/>
          <w:shd w:val="clear" w:color="auto" w:fill="FEFFFF"/>
        </w:rPr>
        <w:t xml:space="preserve">, </w:t>
      </w:r>
      <w:r w:rsidR="00F16F91">
        <w:rPr>
          <w:sz w:val="24"/>
          <w:szCs w:val="24"/>
          <w:shd w:val="clear" w:color="auto" w:fill="FEFFFF"/>
        </w:rPr>
        <w:t>and provide details of the</w:t>
      </w:r>
      <w:r w:rsidR="00F16F91" w:rsidRPr="0081396C">
        <w:rPr>
          <w:sz w:val="24"/>
          <w:szCs w:val="24"/>
          <w:shd w:val="clear" w:color="auto" w:fill="FEFFFF"/>
        </w:rPr>
        <w:t xml:space="preserve"> insurance cover relating to the Community Council's responsibilities for the MUGA to </w:t>
      </w:r>
      <w:proofErr w:type="spellStart"/>
      <w:r w:rsidR="00F16F91" w:rsidRPr="0081396C">
        <w:rPr>
          <w:sz w:val="24"/>
          <w:szCs w:val="24"/>
          <w:shd w:val="clear" w:color="auto" w:fill="FEFFFF"/>
        </w:rPr>
        <w:t>TaSC</w:t>
      </w:r>
      <w:proofErr w:type="spellEnd"/>
      <w:r w:rsidR="00F16F91" w:rsidRPr="0081396C">
        <w:rPr>
          <w:sz w:val="24"/>
          <w:szCs w:val="24"/>
          <w:shd w:val="clear" w:color="auto" w:fill="FEFFFF"/>
        </w:rPr>
        <w:t xml:space="preserve"> each year</w:t>
      </w:r>
      <w:r w:rsidR="00050F82">
        <w:rPr>
          <w:sz w:val="24"/>
          <w:szCs w:val="24"/>
          <w:shd w:val="clear" w:color="auto" w:fill="FEFFFF"/>
        </w:rPr>
        <w:t>.</w:t>
      </w:r>
    </w:p>
    <w:p w14:paraId="7824CA22" w14:textId="77777777" w:rsidR="003462F8" w:rsidRPr="00871D84" w:rsidRDefault="003C5019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Prepare a costed maintenance plan for agreement with </w:t>
      </w: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>.</w:t>
      </w:r>
    </w:p>
    <w:p w14:paraId="44BD2FC8" w14:textId="6AEAAE64" w:rsidR="00525FD4" w:rsidRPr="00871D84" w:rsidRDefault="00B37470" w:rsidP="00525FD4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525FD4" w:rsidRPr="00871D84">
        <w:rPr>
          <w:rFonts w:cs="Calibri"/>
          <w:sz w:val="24"/>
          <w:szCs w:val="24"/>
        </w:rPr>
        <w:t>dhere to the maintenance schedule agreed</w:t>
      </w:r>
      <w:r>
        <w:rPr>
          <w:rFonts w:cs="Calibri"/>
          <w:sz w:val="24"/>
          <w:szCs w:val="24"/>
        </w:rPr>
        <w:t>.</w:t>
      </w:r>
      <w:r w:rsidR="00525FD4" w:rsidRPr="00871D84">
        <w:rPr>
          <w:rFonts w:cs="Calibri"/>
          <w:sz w:val="24"/>
          <w:szCs w:val="24"/>
        </w:rPr>
        <w:t xml:space="preserve"> </w:t>
      </w:r>
    </w:p>
    <w:p w14:paraId="50DF92A6" w14:textId="5C7401AF" w:rsidR="003462F8" w:rsidRPr="00871D84" w:rsidRDefault="003C5019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  <w:highlight w:val="yellow"/>
        </w:rPr>
      </w:pPr>
      <w:r w:rsidRPr="00871D84">
        <w:rPr>
          <w:rFonts w:cs="Calibri"/>
          <w:sz w:val="24"/>
          <w:szCs w:val="24"/>
        </w:rPr>
        <w:t xml:space="preserve">Invoice </w:t>
      </w: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 xml:space="preserve"> for the agreed costs of maintenance work</w:t>
      </w:r>
      <w:r w:rsidR="001072FE" w:rsidRPr="00871D84">
        <w:rPr>
          <w:rFonts w:cs="Calibri"/>
          <w:sz w:val="24"/>
          <w:szCs w:val="24"/>
        </w:rPr>
        <w:t xml:space="preserve">. </w:t>
      </w:r>
      <w:r w:rsidR="00D96554" w:rsidRPr="00871D84">
        <w:rPr>
          <w:rFonts w:cs="Calibri"/>
          <w:sz w:val="24"/>
          <w:szCs w:val="24"/>
        </w:rPr>
        <w:t xml:space="preserve"> </w:t>
      </w:r>
    </w:p>
    <w:p w14:paraId="2C09BD7A" w14:textId="77777777" w:rsidR="003462F8" w:rsidRPr="00871D84" w:rsidRDefault="003C5019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Liaise with Vale of Glamorgan Council for periodic safety inspections of the MUGA.</w:t>
      </w:r>
    </w:p>
    <w:p w14:paraId="12B3EE62" w14:textId="77777777" w:rsidR="000552CD" w:rsidRDefault="003C5019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Consult with </w:t>
      </w: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 xml:space="preserve"> before carrying out any improvement or alteration works to the MUGA. </w:t>
      </w:r>
    </w:p>
    <w:p w14:paraId="0CB6BCA0" w14:textId="48918BFB" w:rsidR="003462F8" w:rsidRPr="00871D84" w:rsidRDefault="003C5019">
      <w:pPr>
        <w:pStyle w:val="ListParagraph"/>
        <w:numPr>
          <w:ilvl w:val="1"/>
          <w:numId w:val="9"/>
        </w:numPr>
        <w:spacing w:after="120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lastRenderedPageBreak/>
        <w:t xml:space="preserve">Meet with representatives of </w:t>
      </w: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 xml:space="preserve"> a minimum of twice per year to discuss operation of the MUGA.</w:t>
      </w:r>
    </w:p>
    <w:p w14:paraId="596F0EA8" w14:textId="77777777" w:rsidR="003462F8" w:rsidRPr="00871D84" w:rsidRDefault="003462F8">
      <w:pPr>
        <w:pStyle w:val="BodyA"/>
        <w:spacing w:after="120"/>
        <w:rPr>
          <w:rFonts w:eastAsia="Helvetica Neue" w:cs="Calibri"/>
          <w:sz w:val="24"/>
          <w:szCs w:val="24"/>
        </w:rPr>
      </w:pPr>
    </w:p>
    <w:p w14:paraId="14921648" w14:textId="5DD2986E" w:rsidR="003462F8" w:rsidRPr="00485293" w:rsidRDefault="003C5019">
      <w:pPr>
        <w:pStyle w:val="ListParagraph"/>
        <w:numPr>
          <w:ilvl w:val="0"/>
          <w:numId w:val="10"/>
        </w:numPr>
        <w:spacing w:after="120"/>
        <w:rPr>
          <w:rFonts w:cs="Calibri"/>
          <w:sz w:val="24"/>
          <w:szCs w:val="24"/>
        </w:rPr>
      </w:pPr>
      <w:r w:rsidRPr="00485293">
        <w:rPr>
          <w:rFonts w:cs="Calibri"/>
          <w:sz w:val="24"/>
          <w:szCs w:val="24"/>
        </w:rPr>
        <w:t xml:space="preserve">This Agreement may be terminated by either party giving to the other not less than </w:t>
      </w:r>
      <w:r w:rsidR="00B266A8" w:rsidRPr="00485293">
        <w:rPr>
          <w:rFonts w:cs="Calibri"/>
          <w:sz w:val="24"/>
          <w:szCs w:val="24"/>
        </w:rPr>
        <w:t>six</w:t>
      </w:r>
      <w:r w:rsidRPr="00485293">
        <w:rPr>
          <w:rFonts w:cs="Calibri"/>
          <w:sz w:val="24"/>
          <w:szCs w:val="24"/>
        </w:rPr>
        <w:t xml:space="preserve"> </w:t>
      </w:r>
      <w:proofErr w:type="spellStart"/>
      <w:r w:rsidRPr="00485293">
        <w:rPr>
          <w:rFonts w:cs="Calibri"/>
          <w:sz w:val="24"/>
          <w:szCs w:val="24"/>
        </w:rPr>
        <w:t>months notice</w:t>
      </w:r>
      <w:proofErr w:type="spellEnd"/>
      <w:r w:rsidRPr="00485293">
        <w:rPr>
          <w:rFonts w:cs="Calibri"/>
          <w:sz w:val="24"/>
          <w:szCs w:val="24"/>
        </w:rPr>
        <w:t>.</w:t>
      </w:r>
      <w:r w:rsidRPr="00485293">
        <w:rPr>
          <w:rFonts w:eastAsia="Helvetica Neue" w:cs="Calibri"/>
          <w:sz w:val="24"/>
          <w:szCs w:val="24"/>
        </w:rPr>
        <w:br/>
      </w:r>
    </w:p>
    <w:p w14:paraId="55AA954A" w14:textId="2687A519" w:rsidR="001072FE" w:rsidRPr="00B37470" w:rsidRDefault="003C5019" w:rsidP="001072FE">
      <w:pPr>
        <w:pStyle w:val="ListParagraph"/>
        <w:numPr>
          <w:ilvl w:val="0"/>
          <w:numId w:val="2"/>
        </w:numPr>
        <w:spacing w:after="120"/>
        <w:rPr>
          <w:sz w:val="24"/>
          <w:highlight w:val="green"/>
        </w:rPr>
      </w:pPr>
      <w:r w:rsidRPr="00485293">
        <w:rPr>
          <w:rFonts w:cs="Calibri"/>
          <w:sz w:val="24"/>
          <w:szCs w:val="24"/>
        </w:rPr>
        <w:t xml:space="preserve">This Agreement will be </w:t>
      </w:r>
      <w:r w:rsidR="00B266A8" w:rsidRPr="00485293">
        <w:rPr>
          <w:rFonts w:cs="Calibri"/>
          <w:sz w:val="24"/>
          <w:szCs w:val="24"/>
        </w:rPr>
        <w:t xml:space="preserve">formally </w:t>
      </w:r>
      <w:r w:rsidRPr="00485293">
        <w:rPr>
          <w:rFonts w:cs="Calibri"/>
          <w:sz w:val="24"/>
          <w:szCs w:val="24"/>
        </w:rPr>
        <w:t xml:space="preserve">reviewed </w:t>
      </w:r>
      <w:r w:rsidR="001072FE" w:rsidRPr="00485293">
        <w:rPr>
          <w:rFonts w:cs="Calibri"/>
          <w:sz w:val="24"/>
          <w:szCs w:val="24"/>
        </w:rPr>
        <w:t xml:space="preserve">after 1 year </w:t>
      </w:r>
      <w:r w:rsidRPr="00485293">
        <w:rPr>
          <w:rFonts w:cs="Calibri"/>
          <w:sz w:val="24"/>
          <w:szCs w:val="24"/>
        </w:rPr>
        <w:t>from the date of its signing.</w:t>
      </w:r>
      <w:r w:rsidR="00B266A8" w:rsidRPr="00485293">
        <w:rPr>
          <w:rFonts w:cs="Calibri"/>
          <w:sz w:val="24"/>
          <w:szCs w:val="24"/>
        </w:rPr>
        <w:t xml:space="preserve"> </w:t>
      </w:r>
      <w:r w:rsidR="001072FE" w:rsidRPr="00485293">
        <w:rPr>
          <w:rFonts w:cs="Calibri"/>
          <w:sz w:val="24"/>
          <w:szCs w:val="24"/>
        </w:rPr>
        <w:t>After this</w:t>
      </w:r>
      <w:r w:rsidR="000552CD">
        <w:rPr>
          <w:rFonts w:cs="Calibri"/>
          <w:sz w:val="24"/>
          <w:szCs w:val="24"/>
        </w:rPr>
        <w:t>,</w:t>
      </w:r>
      <w:r w:rsidR="001072FE" w:rsidRPr="00485293">
        <w:rPr>
          <w:rFonts w:cs="Calibri"/>
          <w:sz w:val="24"/>
          <w:szCs w:val="24"/>
        </w:rPr>
        <w:t xml:space="preserve"> every four years unless either party request</w:t>
      </w:r>
      <w:r w:rsidR="00B37470">
        <w:rPr>
          <w:rFonts w:cs="Calibri"/>
          <w:sz w:val="24"/>
          <w:szCs w:val="24"/>
        </w:rPr>
        <w:t>s</w:t>
      </w:r>
      <w:r w:rsidR="001072FE" w:rsidRPr="00871D84">
        <w:rPr>
          <w:rFonts w:cs="Calibri"/>
          <w:sz w:val="24"/>
          <w:szCs w:val="24"/>
        </w:rPr>
        <w:t xml:space="preserve"> a review before this period. </w:t>
      </w:r>
    </w:p>
    <w:p w14:paraId="0127721E" w14:textId="128F9138" w:rsidR="003462F8" w:rsidRDefault="003462F8" w:rsidP="00B37470">
      <w:pPr>
        <w:pStyle w:val="ListParagraph"/>
        <w:rPr>
          <w:rFonts w:eastAsia="Helvetica Neue" w:cs="Calibri"/>
          <w:sz w:val="24"/>
          <w:szCs w:val="24"/>
        </w:rPr>
      </w:pPr>
    </w:p>
    <w:p w14:paraId="28C2C6C5" w14:textId="53503A99" w:rsidR="00E52750" w:rsidRDefault="00E52750" w:rsidP="00B37470">
      <w:pPr>
        <w:pStyle w:val="ListParagraph"/>
        <w:rPr>
          <w:rFonts w:eastAsia="Helvetica Neue" w:cs="Calibri"/>
          <w:sz w:val="24"/>
          <w:szCs w:val="24"/>
        </w:rPr>
      </w:pPr>
    </w:p>
    <w:p w14:paraId="47E4E0EA" w14:textId="77777777" w:rsidR="00E52750" w:rsidRPr="00871D84" w:rsidRDefault="00E52750" w:rsidP="00B37470">
      <w:pPr>
        <w:pStyle w:val="ListParagraph"/>
        <w:rPr>
          <w:rFonts w:eastAsia="Helvetica Neue" w:cs="Calibri"/>
          <w:sz w:val="24"/>
          <w:szCs w:val="24"/>
        </w:rPr>
      </w:pPr>
    </w:p>
    <w:p w14:paraId="61519148" w14:textId="773EB0A1" w:rsidR="003462F8" w:rsidRPr="00E52750" w:rsidRDefault="003C5019">
      <w:pPr>
        <w:pStyle w:val="BodyA"/>
        <w:rPr>
          <w:rFonts w:cs="Calibri"/>
          <w:b/>
          <w:bCs/>
          <w:sz w:val="24"/>
          <w:szCs w:val="24"/>
          <w:lang w:val="da-DK"/>
        </w:rPr>
      </w:pPr>
      <w:r w:rsidRPr="00E52750">
        <w:rPr>
          <w:rFonts w:cs="Calibri"/>
          <w:b/>
          <w:bCs/>
          <w:sz w:val="24"/>
          <w:szCs w:val="24"/>
          <w:lang w:val="da-DK"/>
        </w:rPr>
        <w:t>Signed:</w:t>
      </w:r>
    </w:p>
    <w:p w14:paraId="3B0B1363" w14:textId="77777777" w:rsidR="00E52750" w:rsidRPr="00871D84" w:rsidRDefault="00E52750">
      <w:pPr>
        <w:pStyle w:val="BodyA"/>
        <w:rPr>
          <w:rFonts w:eastAsia="Helvetica Neue" w:cs="Calibri"/>
          <w:sz w:val="24"/>
          <w:szCs w:val="24"/>
          <w:lang w:val="da-DK"/>
        </w:rPr>
      </w:pPr>
    </w:p>
    <w:p w14:paraId="113F73B1" w14:textId="32F3A365" w:rsidR="003462F8" w:rsidRDefault="003C5019">
      <w:pPr>
        <w:pStyle w:val="BodyA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For PSECC:</w:t>
      </w:r>
    </w:p>
    <w:p w14:paraId="47D018C8" w14:textId="77777777" w:rsidR="00E52750" w:rsidRPr="00871D84" w:rsidRDefault="00E52750">
      <w:pPr>
        <w:pStyle w:val="BodyA"/>
        <w:rPr>
          <w:rFonts w:eastAsia="Helvetica Neue" w:cs="Calibri"/>
          <w:sz w:val="24"/>
          <w:szCs w:val="24"/>
        </w:rPr>
      </w:pPr>
    </w:p>
    <w:p w14:paraId="4A4607E5" w14:textId="77777777" w:rsidR="003462F8" w:rsidRPr="00871D84" w:rsidRDefault="003C5019">
      <w:pPr>
        <w:pStyle w:val="BodyA"/>
        <w:rPr>
          <w:rFonts w:eastAsia="Helvetica Neue" w:cs="Calibri"/>
          <w:sz w:val="24"/>
          <w:szCs w:val="24"/>
          <w:lang w:val="de-DE"/>
        </w:rPr>
      </w:pPr>
      <w:r w:rsidRPr="00871D84">
        <w:rPr>
          <w:rFonts w:cs="Calibri"/>
          <w:sz w:val="24"/>
          <w:szCs w:val="24"/>
          <w:lang w:val="de-DE"/>
        </w:rPr>
        <w:t>Name:</w:t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  <w:t>Position:</w:t>
      </w:r>
    </w:p>
    <w:p w14:paraId="7BA9B7AD" w14:textId="77777777" w:rsidR="003462F8" w:rsidRPr="00871D84" w:rsidRDefault="003462F8">
      <w:pPr>
        <w:pStyle w:val="BodyA"/>
        <w:rPr>
          <w:rFonts w:eastAsia="Helvetica Neue" w:cs="Calibri"/>
          <w:sz w:val="24"/>
          <w:szCs w:val="24"/>
        </w:rPr>
      </w:pPr>
    </w:p>
    <w:p w14:paraId="38F85FBC" w14:textId="77777777" w:rsidR="003462F8" w:rsidRPr="00871D84" w:rsidRDefault="003C5019">
      <w:pPr>
        <w:pStyle w:val="BodyA"/>
        <w:rPr>
          <w:rFonts w:eastAsia="Helvetica Neue"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>Signature:</w:t>
      </w:r>
    </w:p>
    <w:p w14:paraId="2B7D7AC0" w14:textId="329548FA" w:rsidR="003462F8" w:rsidRDefault="003462F8">
      <w:pPr>
        <w:pStyle w:val="BodyA"/>
        <w:rPr>
          <w:rFonts w:eastAsia="Helvetica Neue" w:cs="Calibri"/>
          <w:sz w:val="24"/>
          <w:szCs w:val="24"/>
        </w:rPr>
      </w:pPr>
    </w:p>
    <w:p w14:paraId="241D5BBD" w14:textId="15552EFD" w:rsidR="00E52750" w:rsidRDefault="00E52750">
      <w:pPr>
        <w:pStyle w:val="BodyA"/>
        <w:rPr>
          <w:rFonts w:eastAsia="Helvetica Neue" w:cs="Calibri"/>
          <w:sz w:val="24"/>
          <w:szCs w:val="24"/>
        </w:rPr>
      </w:pPr>
    </w:p>
    <w:p w14:paraId="7FF864C4" w14:textId="77777777" w:rsidR="00E52750" w:rsidRPr="00871D84" w:rsidRDefault="00E52750">
      <w:pPr>
        <w:pStyle w:val="BodyA"/>
        <w:rPr>
          <w:rFonts w:eastAsia="Helvetica Neue" w:cs="Calibri"/>
          <w:sz w:val="24"/>
          <w:szCs w:val="24"/>
        </w:rPr>
      </w:pPr>
    </w:p>
    <w:p w14:paraId="07DAEE39" w14:textId="15538840" w:rsidR="003462F8" w:rsidRDefault="003C5019">
      <w:pPr>
        <w:pStyle w:val="BodyA"/>
        <w:rPr>
          <w:rFonts w:cs="Calibri"/>
          <w:sz w:val="24"/>
          <w:szCs w:val="24"/>
        </w:rPr>
      </w:pPr>
      <w:r w:rsidRPr="00871D84">
        <w:rPr>
          <w:rFonts w:cs="Calibri"/>
          <w:sz w:val="24"/>
          <w:szCs w:val="24"/>
        </w:rPr>
        <w:t xml:space="preserve">For </w:t>
      </w:r>
      <w:proofErr w:type="spellStart"/>
      <w:r w:rsidRPr="00871D84">
        <w:rPr>
          <w:rFonts w:cs="Calibri"/>
          <w:sz w:val="24"/>
          <w:szCs w:val="24"/>
        </w:rPr>
        <w:t>TaSC</w:t>
      </w:r>
      <w:proofErr w:type="spellEnd"/>
      <w:r w:rsidRPr="00871D84">
        <w:rPr>
          <w:rFonts w:cs="Calibri"/>
          <w:sz w:val="24"/>
          <w:szCs w:val="24"/>
        </w:rPr>
        <w:t>:</w:t>
      </w:r>
    </w:p>
    <w:p w14:paraId="409EBFB0" w14:textId="77777777" w:rsidR="00E52750" w:rsidRPr="00871D84" w:rsidRDefault="00E52750">
      <w:pPr>
        <w:pStyle w:val="BodyA"/>
        <w:rPr>
          <w:rFonts w:eastAsia="Helvetica Neue" w:cs="Calibri"/>
          <w:sz w:val="24"/>
          <w:szCs w:val="24"/>
        </w:rPr>
      </w:pPr>
    </w:p>
    <w:p w14:paraId="74F1A558" w14:textId="77777777" w:rsidR="003462F8" w:rsidRPr="00871D84" w:rsidRDefault="003C5019">
      <w:pPr>
        <w:pStyle w:val="BodyA"/>
        <w:rPr>
          <w:rFonts w:eastAsia="Helvetica Neue" w:cs="Calibri"/>
          <w:sz w:val="24"/>
          <w:szCs w:val="24"/>
          <w:lang w:val="de-DE"/>
        </w:rPr>
      </w:pPr>
      <w:r w:rsidRPr="00871D84">
        <w:rPr>
          <w:rFonts w:cs="Calibri"/>
          <w:sz w:val="24"/>
          <w:szCs w:val="24"/>
          <w:lang w:val="de-DE"/>
        </w:rPr>
        <w:t>Name:</w:t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</w:r>
      <w:r w:rsidRPr="00871D84">
        <w:rPr>
          <w:rFonts w:cs="Calibri"/>
          <w:sz w:val="24"/>
          <w:szCs w:val="24"/>
          <w:lang w:val="de-DE"/>
        </w:rPr>
        <w:tab/>
        <w:t>Position:</w:t>
      </w:r>
    </w:p>
    <w:p w14:paraId="75611A5A" w14:textId="77777777" w:rsidR="003462F8" w:rsidRPr="00871D84" w:rsidRDefault="003462F8">
      <w:pPr>
        <w:pStyle w:val="BodyA"/>
        <w:rPr>
          <w:rFonts w:eastAsia="Helvetica Neue" w:cs="Calibri"/>
          <w:sz w:val="24"/>
          <w:szCs w:val="24"/>
        </w:rPr>
      </w:pPr>
    </w:p>
    <w:p w14:paraId="293CD26D" w14:textId="77777777" w:rsidR="003462F8" w:rsidRPr="00B37470" w:rsidRDefault="003C5019" w:rsidP="00B37470">
      <w:pPr>
        <w:pStyle w:val="BodyA"/>
        <w:rPr>
          <w:sz w:val="24"/>
        </w:rPr>
      </w:pPr>
      <w:r w:rsidRPr="00871D84">
        <w:rPr>
          <w:rFonts w:cs="Calibri"/>
          <w:sz w:val="24"/>
          <w:szCs w:val="24"/>
        </w:rPr>
        <w:t>Signature:</w:t>
      </w:r>
      <w:r w:rsidRPr="00871D84">
        <w:rPr>
          <w:rFonts w:cs="Calibri"/>
          <w:sz w:val="24"/>
          <w:szCs w:val="24"/>
        </w:rPr>
        <w:br w:type="page"/>
      </w:r>
    </w:p>
    <w:p w14:paraId="1D617073" w14:textId="747100C6" w:rsidR="003462F8" w:rsidRPr="00B37470" w:rsidRDefault="008B0EEF" w:rsidP="008B0EEF">
      <w:pPr>
        <w:ind w:firstLine="142"/>
        <w:rPr>
          <w:rFonts w:ascii="Calibri" w:hAnsi="Calibri"/>
        </w:rPr>
      </w:pPr>
      <w:r w:rsidRPr="00B37470">
        <w:rPr>
          <w:rFonts w:ascii="Calibri" w:hAnsi="Calibri"/>
          <w:b/>
        </w:rPr>
        <w:lastRenderedPageBreak/>
        <w:t>Sch</w:t>
      </w:r>
      <w:r w:rsidR="003C5019" w:rsidRPr="00B37470">
        <w:rPr>
          <w:rFonts w:ascii="Calibri" w:hAnsi="Calibri"/>
          <w:b/>
        </w:rPr>
        <w:t xml:space="preserve">edule 1 Roles and </w:t>
      </w:r>
      <w:r w:rsidR="000552CD">
        <w:rPr>
          <w:rFonts w:ascii="Calibri" w:hAnsi="Calibri" w:cs="Calibri"/>
          <w:b/>
          <w:bCs/>
        </w:rPr>
        <w:t>R</w:t>
      </w:r>
      <w:r w:rsidR="003C5019" w:rsidRPr="00871D84">
        <w:rPr>
          <w:rFonts w:ascii="Calibri" w:hAnsi="Calibri" w:cs="Calibri"/>
          <w:b/>
          <w:bCs/>
        </w:rPr>
        <w:t>esponsibility</w:t>
      </w:r>
      <w:r w:rsidR="003C5019" w:rsidRPr="00B37470">
        <w:rPr>
          <w:rFonts w:ascii="Calibri" w:hAnsi="Calibri"/>
          <w:b/>
        </w:rPr>
        <w:t xml:space="preserve"> of </w:t>
      </w:r>
      <w:proofErr w:type="spellStart"/>
      <w:r w:rsidR="003C5019" w:rsidRPr="00B37470">
        <w:rPr>
          <w:rFonts w:ascii="Calibri" w:hAnsi="Calibri"/>
          <w:b/>
        </w:rPr>
        <w:t>TaSC</w:t>
      </w:r>
      <w:proofErr w:type="spellEnd"/>
    </w:p>
    <w:p w14:paraId="3E239EE1" w14:textId="77777777" w:rsidR="003462F8" w:rsidRPr="00871D84" w:rsidRDefault="003462F8">
      <w:pPr>
        <w:pStyle w:val="ListParagraph"/>
        <w:rPr>
          <w:rFonts w:eastAsia="Helvetica Neue" w:cs="Calibri"/>
          <w:sz w:val="24"/>
          <w:szCs w:val="24"/>
        </w:rPr>
      </w:pPr>
    </w:p>
    <w:tbl>
      <w:tblPr>
        <w:tblW w:w="9072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3462F8" w:rsidRPr="00871D84" w14:paraId="1F5F8EDC" w14:textId="77777777" w:rsidTr="008B0EEF">
        <w:trPr>
          <w:trHeight w:val="490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FC5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F2EE" w14:textId="38C096A4" w:rsidR="003462F8" w:rsidRPr="00B37470" w:rsidRDefault="00B37470">
            <w:pPr>
              <w:pStyle w:val="BodyA"/>
              <w:tabs>
                <w:tab w:val="left" w:pos="1440"/>
              </w:tabs>
              <w:suppressAutoHyphens/>
              <w:outlineLvl w:val="0"/>
            </w:pPr>
            <w:r>
              <w:t>Role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FC5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8274" w14:textId="2D163B5C" w:rsidR="003462F8" w:rsidRPr="00B37470" w:rsidRDefault="00B37470" w:rsidP="00B31DCA">
            <w:pPr>
              <w:pStyle w:val="BodyA"/>
              <w:tabs>
                <w:tab w:val="left" w:pos="1440"/>
              </w:tabs>
              <w:suppressAutoHyphens/>
              <w:outlineLvl w:val="0"/>
            </w:pPr>
            <w:r>
              <w:t>Responsibility</w:t>
            </w:r>
          </w:p>
        </w:tc>
      </w:tr>
      <w:tr w:rsidR="003462F8" w:rsidRPr="00871D84" w14:paraId="53994750" w14:textId="77777777" w:rsidTr="008B0EEF">
        <w:trPr>
          <w:trHeight w:val="1413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44EC" w14:textId="77777777" w:rsidR="003462F8" w:rsidRPr="00871D84" w:rsidRDefault="003C5019">
            <w:pPr>
              <w:pStyle w:val="Body"/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871D84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Revenue Generation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D1A5" w14:textId="183C0896" w:rsidR="003462F8" w:rsidRPr="00871D84" w:rsidRDefault="003C5019" w:rsidP="00B31DCA">
            <w:pPr>
              <w:pStyle w:val="Body"/>
              <w:numPr>
                <w:ilvl w:val="0"/>
                <w:numId w:val="11"/>
              </w:numPr>
              <w:suppressAutoHyphens/>
              <w:ind w:left="612" w:hanging="425"/>
              <w:outlineLvl w:val="0"/>
              <w:rPr>
                <w:rFonts w:ascii="Calibri" w:eastAsia="Helvetica Neue" w:hAnsi="Calibri" w:cs="Calibri"/>
              </w:rPr>
            </w:pPr>
            <w:r w:rsidRPr="00871D84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Raise money through bookings</w:t>
            </w:r>
            <w:r w:rsidR="00050F82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00FA4D2" w14:textId="522218F7" w:rsidR="003462F8" w:rsidRPr="00871D84" w:rsidRDefault="003C5019" w:rsidP="00B31DCA">
            <w:pPr>
              <w:pStyle w:val="Body"/>
              <w:numPr>
                <w:ilvl w:val="0"/>
                <w:numId w:val="11"/>
              </w:numPr>
              <w:suppressAutoHyphens/>
              <w:ind w:left="612" w:hanging="425"/>
              <w:outlineLvl w:val="0"/>
              <w:rPr>
                <w:rFonts w:ascii="Calibri" w:eastAsia="Helvetica Neue" w:hAnsi="Calibri" w:cs="Calibri"/>
              </w:rPr>
            </w:pPr>
            <w:r w:rsidRPr="00871D84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Apply for grants to pay for equipment and develop sporting activities for the community</w:t>
            </w:r>
            <w:r w:rsidR="00050F82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871D84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332EC20" w14:textId="31F33400" w:rsidR="003462F8" w:rsidRPr="00871D84" w:rsidRDefault="003C5019" w:rsidP="00B31DCA">
            <w:pPr>
              <w:pStyle w:val="Body"/>
              <w:numPr>
                <w:ilvl w:val="0"/>
                <w:numId w:val="11"/>
              </w:numPr>
              <w:suppressAutoHyphens/>
              <w:ind w:left="612" w:hanging="425"/>
              <w:outlineLvl w:val="0"/>
              <w:rPr>
                <w:rFonts w:ascii="Calibri" w:hAnsi="Calibri" w:cs="Calibri"/>
              </w:rPr>
            </w:pPr>
            <w:r w:rsidRPr="00871D84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Hold periodic fundraising events in association with clubs and users to boost revenue</w:t>
            </w:r>
            <w:r w:rsidR="0001368A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525FD4" w:rsidRPr="00871D84" w14:paraId="521DA22B" w14:textId="77777777" w:rsidTr="008B0EEF">
        <w:trPr>
          <w:trHeight w:val="1094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64E07" w14:textId="4B6F7F8D" w:rsidR="00525FD4" w:rsidRPr="00871D84" w:rsidRDefault="00525FD4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Insurance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1DBD" w14:textId="094C94BF" w:rsidR="00525FD4" w:rsidRPr="00871D84" w:rsidRDefault="0001368A" w:rsidP="006426A0">
            <w:pPr>
              <w:ind w:left="612" w:hanging="425"/>
              <w:rPr>
                <w:rFonts w:cs="Calibri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4.</w:t>
            </w: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ab/>
            </w:r>
            <w:r w:rsidRPr="0001368A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Take out appropriate insurance to cover risks to</w:t>
            </w: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 xml:space="preserve"> </w:t>
            </w:r>
            <w:r w:rsidRPr="0001368A">
              <w:rPr>
                <w:rFonts w:ascii="Calibri" w:eastAsia="Times New Roman" w:hAnsi="Calibri" w:cs="Calibri"/>
                <w:color w:val="000000"/>
                <w:bdr w:val="none" w:sz="0" w:space="0" w:color="auto"/>
                <w:lang w:eastAsia="en-GB"/>
              </w:rPr>
              <w:t xml:space="preserve">equipment, contents of the clubhouse, liabilities, and any other risks identified by </w:t>
            </w:r>
            <w:proofErr w:type="spellStart"/>
            <w:r w:rsidRPr="0001368A">
              <w:rPr>
                <w:rFonts w:ascii="Calibri" w:eastAsia="Times New Roman" w:hAnsi="Calibri" w:cs="Calibri"/>
                <w:color w:val="000000"/>
                <w:bdr w:val="none" w:sz="0" w:space="0" w:color="auto"/>
                <w:lang w:eastAsia="en-GB"/>
              </w:rPr>
              <w:t>TaSC</w:t>
            </w:r>
            <w:proofErr w:type="spellEnd"/>
            <w:r w:rsidRPr="0001368A">
              <w:rPr>
                <w:rFonts w:ascii="Calibri" w:eastAsia="Times New Roman" w:hAnsi="Calibri" w:cs="Calibri"/>
                <w:color w:val="000000"/>
                <w:bdr w:val="none" w:sz="0" w:space="0" w:color="auto"/>
                <w:lang w:eastAsia="en-GB"/>
              </w:rPr>
              <w:t>.</w:t>
            </w:r>
          </w:p>
        </w:tc>
      </w:tr>
      <w:tr w:rsidR="003A6876" w:rsidRPr="003A6876" w14:paraId="39CF3C75" w14:textId="77777777" w:rsidTr="008B0EEF">
        <w:trPr>
          <w:trHeight w:val="1094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B10A" w14:textId="32C4400C" w:rsidR="003462F8" w:rsidRPr="0001368A" w:rsidRDefault="006426A0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color w:val="000000" w:themeColor="text1"/>
                <w:sz w:val="24"/>
              </w:rPr>
            </w:pPr>
            <w:r>
              <w:rPr>
                <w:rFonts w:cs="Calibri"/>
                <w:sz w:val="24"/>
                <w:szCs w:val="24"/>
              </w:rPr>
              <w:t>Equipment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A977" w14:textId="7ACFB048" w:rsidR="003462F8" w:rsidRPr="0001368A" w:rsidRDefault="003C5019" w:rsidP="006426A0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color w:val="000000" w:themeColor="text1"/>
                <w:sz w:val="24"/>
              </w:rPr>
            </w:pPr>
            <w:r w:rsidRPr="0001368A">
              <w:rPr>
                <w:color w:val="000000" w:themeColor="text1"/>
                <w:sz w:val="24"/>
              </w:rPr>
              <w:t>To provide and maintain all equipment that will be available for use</w:t>
            </w:r>
            <w:r w:rsidR="001B6A50" w:rsidRPr="0001368A">
              <w:rPr>
                <w:color w:val="000000" w:themeColor="text1"/>
                <w:sz w:val="24"/>
              </w:rPr>
              <w:t>.</w:t>
            </w:r>
            <w:r w:rsidRPr="0001368A">
              <w:rPr>
                <w:color w:val="000000" w:themeColor="text1"/>
                <w:sz w:val="24"/>
              </w:rPr>
              <w:t xml:space="preserve"> </w:t>
            </w:r>
            <w:r w:rsidR="006426A0">
              <w:rPr>
                <w:color w:val="000000" w:themeColor="text1"/>
                <w:sz w:val="24"/>
              </w:rPr>
              <w:t xml:space="preserve">Equipment </w:t>
            </w:r>
            <w:r w:rsidR="006426A0" w:rsidRPr="00983140">
              <w:rPr>
                <w:color w:val="000000" w:themeColor="text1"/>
                <w:sz w:val="24"/>
              </w:rPr>
              <w:t xml:space="preserve">to be made available to individual or organized users at the discretion of </w:t>
            </w:r>
            <w:proofErr w:type="spellStart"/>
            <w:r w:rsidR="006426A0" w:rsidRPr="00983140">
              <w:rPr>
                <w:color w:val="000000" w:themeColor="text1"/>
                <w:sz w:val="24"/>
              </w:rPr>
              <w:t>TaSC</w:t>
            </w:r>
            <w:proofErr w:type="spellEnd"/>
            <w:r w:rsidR="006426A0" w:rsidRPr="00983140">
              <w:rPr>
                <w:color w:val="000000" w:themeColor="text1"/>
                <w:sz w:val="24"/>
              </w:rPr>
              <w:t>.</w:t>
            </w:r>
          </w:p>
        </w:tc>
      </w:tr>
      <w:tr w:rsidR="003A6876" w:rsidRPr="00871D84" w14:paraId="63814D24" w14:textId="77777777" w:rsidTr="006426A0">
        <w:trPr>
          <w:trHeight w:val="755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EDCE" w14:textId="679454F8" w:rsidR="003A6876" w:rsidRPr="006426A0" w:rsidRDefault="003A6876">
            <w:pPr>
              <w:pStyle w:val="ListParagraph"/>
              <w:ind w:left="0"/>
              <w:rPr>
                <w:sz w:val="24"/>
              </w:rPr>
            </w:pPr>
            <w:r w:rsidRPr="006426A0">
              <w:rPr>
                <w:sz w:val="24"/>
              </w:rPr>
              <w:t>Fire Safety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5A05" w14:textId="09674B7B" w:rsidR="005C7C5B" w:rsidRPr="00983140" w:rsidRDefault="005C7C5B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</w:rPr>
            </w:pPr>
            <w:r>
              <w:rPr>
                <w:rFonts w:cs="Calibri"/>
                <w:sz w:val="24"/>
                <w:szCs w:val="24"/>
              </w:rPr>
              <w:t>To ensure there is an up</w:t>
            </w:r>
            <w:r w:rsidR="00983140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to</w:t>
            </w:r>
            <w:r w:rsidR="00983140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date fire risk assessment in place.</w:t>
            </w:r>
          </w:p>
          <w:p w14:paraId="3484BE32" w14:textId="754D9CB9" w:rsidR="003A6876" w:rsidRPr="006426A0" w:rsidRDefault="003A6876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</w:rPr>
            </w:pPr>
            <w:r w:rsidRPr="00485293">
              <w:rPr>
                <w:rFonts w:cs="Calibri"/>
                <w:sz w:val="24"/>
                <w:szCs w:val="24"/>
              </w:rPr>
              <w:t>To provide and maintain all necessary fire safety equipment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3462F8" w:rsidRPr="00871D84" w14:paraId="0C2EC2A0" w14:textId="77777777" w:rsidTr="008B0EEF">
        <w:trPr>
          <w:trHeight w:val="755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4EFB" w14:textId="77777777" w:rsidR="003462F8" w:rsidRPr="006426A0" w:rsidRDefault="003C5019">
            <w:pPr>
              <w:pStyle w:val="ListParagraph"/>
              <w:ind w:left="0"/>
              <w:rPr>
                <w:sz w:val="24"/>
              </w:rPr>
            </w:pPr>
            <w:r w:rsidRPr="006426A0">
              <w:rPr>
                <w:sz w:val="24"/>
              </w:rPr>
              <w:t>Electric costs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B712" w14:textId="7B142170" w:rsidR="003462F8" w:rsidRPr="00485293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rFonts w:eastAsia="Helvetica Neue"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>To provide floodlight tokens</w:t>
            </w:r>
            <w:r w:rsidR="00C278A4" w:rsidRPr="00871D84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C278A4" w:rsidRPr="00485293">
              <w:rPr>
                <w:rFonts w:cs="Calibri"/>
                <w:sz w:val="24"/>
                <w:szCs w:val="24"/>
              </w:rPr>
              <w:t>TaSC</w:t>
            </w:r>
            <w:proofErr w:type="spellEnd"/>
            <w:r w:rsidR="00C278A4" w:rsidRPr="00485293">
              <w:rPr>
                <w:rFonts w:cs="Calibri"/>
                <w:sz w:val="24"/>
                <w:szCs w:val="24"/>
              </w:rPr>
              <w:t xml:space="preserve"> will charge an appropriate fee for lighting tokens.</w:t>
            </w:r>
          </w:p>
          <w:p w14:paraId="6A48F6BE" w14:textId="2FE8FCEE" w:rsidR="003462F8" w:rsidRPr="006426A0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>To pay electricity costs of the clubhouse</w:t>
            </w:r>
            <w:r w:rsidR="00050F82">
              <w:rPr>
                <w:rFonts w:cs="Calibri"/>
                <w:sz w:val="24"/>
                <w:szCs w:val="24"/>
              </w:rPr>
              <w:t>.</w:t>
            </w:r>
            <w:r w:rsidRPr="00871D84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462F8" w:rsidRPr="00871D84" w14:paraId="3D10981F" w14:textId="77777777" w:rsidTr="008B0EEF">
        <w:trPr>
          <w:trHeight w:val="752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214E" w14:textId="77777777" w:rsidR="003462F8" w:rsidRPr="00871D84" w:rsidRDefault="003C5019">
            <w:pPr>
              <w:pStyle w:val="Body"/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871D84">
              <w:rPr>
                <w:rFonts w:ascii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Water Costs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9B7B" w14:textId="202B159D" w:rsidR="003462F8" w:rsidRPr="006426A0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</w:rPr>
            </w:pPr>
            <w:r w:rsidRPr="006426A0">
              <w:rPr>
                <w:color w:val="auto"/>
                <w:sz w:val="24"/>
              </w:rPr>
              <w:t>To pay for the costs of water usage</w:t>
            </w:r>
            <w:r w:rsidR="001B6A50" w:rsidRPr="006426A0">
              <w:rPr>
                <w:color w:val="auto"/>
                <w:sz w:val="24"/>
              </w:rPr>
              <w:t xml:space="preserve"> and sewage disposal</w:t>
            </w:r>
            <w:r w:rsidRPr="006426A0">
              <w:rPr>
                <w:color w:val="auto"/>
                <w:sz w:val="24"/>
              </w:rPr>
              <w:t xml:space="preserve"> arising from use of the clubhouse</w:t>
            </w:r>
            <w:r w:rsidR="00050F82">
              <w:rPr>
                <w:color w:val="auto"/>
                <w:sz w:val="24"/>
              </w:rPr>
              <w:t>.</w:t>
            </w:r>
          </w:p>
        </w:tc>
      </w:tr>
      <w:tr w:rsidR="003462F8" w:rsidRPr="00871D84" w14:paraId="5B44BB4F" w14:textId="77777777" w:rsidTr="008B0EEF">
        <w:trPr>
          <w:trHeight w:val="1413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C051" w14:textId="77777777" w:rsidR="003462F8" w:rsidRPr="006426A0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General Maintenance and repairs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C236" w14:textId="77777777" w:rsidR="003462F8" w:rsidRPr="00871D84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rFonts w:eastAsia="Helvetica Neue"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To agree an appropriate maintenance plan for the MUGA with PSECC. </w:t>
            </w:r>
          </w:p>
          <w:p w14:paraId="43B562D7" w14:textId="36B9178A" w:rsidR="003462F8" w:rsidRPr="00871D84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rFonts w:eastAsia="Helvetica Neue"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>Ensure sufficient revenue is raised to cover</w:t>
            </w:r>
            <w:r w:rsidR="001072FE" w:rsidRPr="00871D84">
              <w:rPr>
                <w:rFonts w:cs="Calibri"/>
                <w:sz w:val="24"/>
                <w:szCs w:val="24"/>
              </w:rPr>
              <w:t xml:space="preserve"> </w:t>
            </w:r>
            <w:r w:rsidRPr="00871D84">
              <w:rPr>
                <w:rFonts w:cs="Calibri"/>
                <w:sz w:val="24"/>
                <w:szCs w:val="24"/>
              </w:rPr>
              <w:t>maintenance costs</w:t>
            </w:r>
            <w:r w:rsidR="00111857" w:rsidRPr="00871D84">
              <w:rPr>
                <w:rFonts w:cs="Calibri"/>
                <w:sz w:val="24"/>
                <w:szCs w:val="24"/>
              </w:rPr>
              <w:t xml:space="preserve"> (assets and equipment)</w:t>
            </w:r>
            <w:r w:rsidRPr="00871D84">
              <w:rPr>
                <w:rFonts w:cs="Calibri"/>
                <w:sz w:val="24"/>
                <w:szCs w:val="24"/>
              </w:rPr>
              <w:t xml:space="preserve">. </w:t>
            </w:r>
          </w:p>
          <w:p w14:paraId="209DA80D" w14:textId="71C4D14C" w:rsidR="003462F8" w:rsidRPr="00BA1A47" w:rsidRDefault="00BA1A47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  <w:szCs w:val="24"/>
              </w:rPr>
            </w:pPr>
            <w:r w:rsidRPr="00BA1A47">
              <w:rPr>
                <w:sz w:val="24"/>
                <w:szCs w:val="24"/>
                <w:lang w:eastAsia="en-US"/>
              </w:rPr>
              <w:t xml:space="preserve">To </w:t>
            </w:r>
            <w:r w:rsidRPr="00BA1A47">
              <w:rPr>
                <w:sz w:val="24"/>
                <w:szCs w:val="24"/>
              </w:rPr>
              <w:t>report any maintenance and safety issues to PSECC in a timely manner.</w:t>
            </w:r>
          </w:p>
        </w:tc>
      </w:tr>
      <w:tr w:rsidR="003462F8" w:rsidRPr="00871D84" w14:paraId="23706B00" w14:textId="77777777" w:rsidTr="006426A0">
        <w:trPr>
          <w:trHeight w:val="346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B590" w14:textId="77777777" w:rsidR="003462F8" w:rsidRPr="006426A0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Booking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5CC9" w14:textId="77777777" w:rsidR="003462F8" w:rsidRPr="00871D84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rFonts w:eastAsia="Helvetica Neue"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To provide and manage a booking system. </w:t>
            </w:r>
          </w:p>
          <w:p w14:paraId="755044E8" w14:textId="7D0D202E" w:rsidR="003462F8" w:rsidRPr="006426A0" w:rsidRDefault="003C5019" w:rsidP="002125DD">
            <w:pPr>
              <w:pStyle w:val="BodyA"/>
              <w:suppressAutoHyphens/>
              <w:ind w:left="187"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462F8" w:rsidRPr="00871D84" w14:paraId="20527B6B" w14:textId="77777777" w:rsidTr="008B0EEF">
        <w:trPr>
          <w:trHeight w:val="630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9613" w14:textId="77777777" w:rsidR="003462F8" w:rsidRPr="00983140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>Liaison with users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1DC8" w14:textId="7F70A9B2" w:rsidR="003462F8" w:rsidRPr="00983140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Deal with all correspondence with sport users, including clubs and </w:t>
            </w:r>
            <w:proofErr w:type="spellStart"/>
            <w:r w:rsidRPr="00871D84">
              <w:rPr>
                <w:rFonts w:cs="Calibri"/>
                <w:sz w:val="24"/>
                <w:szCs w:val="24"/>
              </w:rPr>
              <w:t>organised</w:t>
            </w:r>
            <w:proofErr w:type="spellEnd"/>
            <w:r w:rsidRPr="00871D84">
              <w:rPr>
                <w:rFonts w:cs="Calibri"/>
                <w:sz w:val="24"/>
                <w:szCs w:val="24"/>
              </w:rPr>
              <w:t xml:space="preserve"> groups</w:t>
            </w:r>
            <w:r w:rsidR="00050F82">
              <w:rPr>
                <w:rFonts w:cs="Calibri"/>
                <w:sz w:val="24"/>
                <w:szCs w:val="24"/>
              </w:rPr>
              <w:t>.</w:t>
            </w:r>
            <w:r w:rsidRPr="00871D84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462F8" w:rsidRPr="00871D84" w14:paraId="18351D5A" w14:textId="77777777" w:rsidTr="008B0EEF">
        <w:trPr>
          <w:trHeight w:val="630"/>
        </w:trPr>
        <w:tc>
          <w:tcPr>
            <w:tcW w:w="212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71CB" w14:textId="77777777" w:rsidR="003462F8" w:rsidRPr="00983140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Security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3BE2" w14:textId="75AB2A7D" w:rsidR="003462F8" w:rsidRPr="00983140" w:rsidRDefault="003C5019" w:rsidP="0001368A">
            <w:pPr>
              <w:pStyle w:val="BodyA"/>
              <w:numPr>
                <w:ilvl w:val="0"/>
                <w:numId w:val="15"/>
              </w:numPr>
              <w:suppressAutoHyphens/>
              <w:ind w:left="612" w:hanging="425"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Ensure that the MUGA is </w:t>
            </w:r>
            <w:r w:rsidRPr="00871D84">
              <w:rPr>
                <w:rFonts w:cs="Calibri"/>
                <w:sz w:val="24"/>
                <w:szCs w:val="24"/>
                <w:u w:color="FF0000"/>
              </w:rPr>
              <w:t>adequately</w:t>
            </w:r>
            <w:r w:rsidRPr="00871D84">
              <w:rPr>
                <w:rFonts w:cs="Calibri"/>
                <w:sz w:val="24"/>
                <w:szCs w:val="24"/>
              </w:rPr>
              <w:t xml:space="preserve"> secured to</w:t>
            </w:r>
            <w:r w:rsidR="001B6A50" w:rsidRPr="00871D84">
              <w:rPr>
                <w:rFonts w:cs="Calibri"/>
                <w:sz w:val="24"/>
                <w:szCs w:val="24"/>
              </w:rPr>
              <w:t xml:space="preserve"> </w:t>
            </w:r>
            <w:r w:rsidR="001B6A50" w:rsidRPr="00485293">
              <w:rPr>
                <w:rFonts w:cs="Calibri"/>
                <w:sz w:val="24"/>
                <w:szCs w:val="24"/>
              </w:rPr>
              <w:t>deter</w:t>
            </w:r>
            <w:r w:rsidRPr="00871D84">
              <w:rPr>
                <w:rFonts w:cs="Calibri"/>
                <w:sz w:val="24"/>
                <w:szCs w:val="24"/>
              </w:rPr>
              <w:t xml:space="preserve"> vandalism and theft. </w:t>
            </w:r>
          </w:p>
        </w:tc>
      </w:tr>
    </w:tbl>
    <w:p w14:paraId="48B3CDC7" w14:textId="77777777" w:rsidR="003462F8" w:rsidRPr="00871D84" w:rsidRDefault="003462F8">
      <w:pPr>
        <w:pStyle w:val="ListParagraph"/>
        <w:widowControl w:val="0"/>
        <w:ind w:left="936" w:hanging="936"/>
        <w:rPr>
          <w:rFonts w:eastAsia="Helvetica Neue" w:cs="Calibri"/>
          <w:sz w:val="24"/>
          <w:szCs w:val="24"/>
        </w:rPr>
      </w:pPr>
    </w:p>
    <w:p w14:paraId="34EA1B18" w14:textId="77777777" w:rsidR="003462F8" w:rsidRPr="00871D84" w:rsidRDefault="003462F8">
      <w:pPr>
        <w:pStyle w:val="ListParagraph"/>
        <w:widowControl w:val="0"/>
        <w:ind w:left="828" w:hanging="828"/>
        <w:rPr>
          <w:rFonts w:eastAsia="Helvetica Neue" w:cs="Calibri"/>
          <w:sz w:val="24"/>
          <w:szCs w:val="24"/>
        </w:rPr>
      </w:pPr>
    </w:p>
    <w:p w14:paraId="141E2C5B" w14:textId="77777777" w:rsidR="003462F8" w:rsidRPr="00871D84" w:rsidRDefault="003462F8">
      <w:pPr>
        <w:pStyle w:val="ListParagraph"/>
        <w:rPr>
          <w:rFonts w:eastAsia="Helvetica Neue" w:cs="Calibri"/>
          <w:sz w:val="24"/>
          <w:szCs w:val="24"/>
        </w:rPr>
      </w:pPr>
    </w:p>
    <w:p w14:paraId="64986138" w14:textId="77777777" w:rsidR="003462F8" w:rsidRPr="00871D84" w:rsidRDefault="003462F8">
      <w:pPr>
        <w:pStyle w:val="ListParagraph"/>
        <w:ind w:left="838"/>
        <w:rPr>
          <w:rFonts w:eastAsia="Helvetica Neue" w:cs="Calibri"/>
          <w:sz w:val="24"/>
          <w:szCs w:val="24"/>
        </w:rPr>
      </w:pPr>
    </w:p>
    <w:p w14:paraId="44D68A18" w14:textId="77777777" w:rsidR="003462F8" w:rsidRPr="00871D84" w:rsidRDefault="003462F8">
      <w:pPr>
        <w:pStyle w:val="ListParagraph"/>
        <w:ind w:left="838"/>
        <w:rPr>
          <w:rFonts w:eastAsia="Helvetica Neue" w:cs="Calibri"/>
          <w:sz w:val="24"/>
          <w:szCs w:val="24"/>
        </w:rPr>
      </w:pPr>
    </w:p>
    <w:p w14:paraId="757C9202" w14:textId="77777777" w:rsidR="003462F8" w:rsidRPr="00871D84" w:rsidRDefault="003462F8">
      <w:pPr>
        <w:pStyle w:val="ListParagraph"/>
        <w:ind w:left="838"/>
        <w:rPr>
          <w:rFonts w:eastAsia="Helvetica Neue" w:cs="Calibri"/>
          <w:sz w:val="24"/>
          <w:szCs w:val="24"/>
        </w:rPr>
      </w:pPr>
    </w:p>
    <w:p w14:paraId="46FA4805" w14:textId="77777777" w:rsidR="003462F8" w:rsidRPr="00871D84" w:rsidRDefault="003462F8">
      <w:pPr>
        <w:pStyle w:val="ListParagraph"/>
        <w:ind w:left="838"/>
        <w:rPr>
          <w:rFonts w:eastAsia="Helvetica Neue" w:cs="Calibri"/>
          <w:sz w:val="24"/>
          <w:szCs w:val="24"/>
        </w:rPr>
      </w:pPr>
    </w:p>
    <w:p w14:paraId="0AA9B3DF" w14:textId="77777777" w:rsidR="003462F8" w:rsidRPr="002125DD" w:rsidRDefault="003462F8">
      <w:pPr>
        <w:pStyle w:val="ListParagraph"/>
        <w:ind w:left="838"/>
        <w:rPr>
          <w:sz w:val="24"/>
        </w:rPr>
      </w:pPr>
    </w:p>
    <w:p w14:paraId="2B663380" w14:textId="77777777" w:rsidR="003462F8" w:rsidRPr="00871D84" w:rsidRDefault="003C5019" w:rsidP="008B0EEF">
      <w:pPr>
        <w:pStyle w:val="ListParagraph"/>
        <w:ind w:left="284"/>
        <w:rPr>
          <w:rFonts w:eastAsia="Helvetica Neue" w:cs="Calibri"/>
          <w:b/>
          <w:bCs/>
          <w:sz w:val="24"/>
          <w:szCs w:val="24"/>
        </w:rPr>
      </w:pPr>
      <w:r w:rsidRPr="00871D84">
        <w:rPr>
          <w:rFonts w:cs="Calibri"/>
          <w:b/>
          <w:bCs/>
          <w:sz w:val="24"/>
          <w:szCs w:val="24"/>
        </w:rPr>
        <w:t>Schedule 2 Roles and Responsibilities of PSE CC</w:t>
      </w:r>
    </w:p>
    <w:p w14:paraId="0AD285E7" w14:textId="77777777" w:rsidR="003462F8" w:rsidRPr="00871D84" w:rsidRDefault="003462F8">
      <w:pPr>
        <w:pStyle w:val="ListParagraph"/>
        <w:ind w:left="0"/>
        <w:rPr>
          <w:rFonts w:eastAsia="Helvetica Neue" w:cs="Calibri"/>
          <w:sz w:val="24"/>
          <w:szCs w:val="24"/>
        </w:rPr>
      </w:pPr>
    </w:p>
    <w:tbl>
      <w:tblPr>
        <w:tblW w:w="8930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4"/>
        <w:gridCol w:w="6946"/>
      </w:tblGrid>
      <w:tr w:rsidR="003462F8" w:rsidRPr="00871D84" w14:paraId="256B86C1" w14:textId="77777777" w:rsidTr="002125DD">
        <w:trPr>
          <w:trHeight w:val="49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29292"/>
            </w:tcBorders>
            <w:shd w:val="clear" w:color="auto" w:fill="FFC5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9E92" w14:textId="720FD491" w:rsidR="003462F8" w:rsidRPr="002125DD" w:rsidRDefault="002125DD">
            <w:pPr>
              <w:pStyle w:val="BodyA"/>
              <w:tabs>
                <w:tab w:val="left" w:pos="1440"/>
              </w:tabs>
              <w:suppressAutoHyphens/>
              <w:ind w:firstLine="1"/>
              <w:outlineLvl w:val="0"/>
            </w:pPr>
            <w:r>
              <w:t>Role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929292"/>
              <w:bottom w:val="single" w:sz="8" w:space="0" w:color="000000"/>
              <w:right w:val="single" w:sz="8" w:space="0" w:color="000000"/>
            </w:tcBorders>
            <w:shd w:val="clear" w:color="auto" w:fill="FFC5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34F6" w14:textId="5A411445" w:rsidR="003462F8" w:rsidRPr="002125DD" w:rsidRDefault="00EA6369">
            <w:pPr>
              <w:pStyle w:val="BodyA"/>
              <w:tabs>
                <w:tab w:val="left" w:pos="1440"/>
              </w:tabs>
              <w:suppressAutoHyphens/>
              <w:outlineLvl w:val="0"/>
            </w:pPr>
            <w:r>
              <w:t>Responsibility</w:t>
            </w:r>
          </w:p>
        </w:tc>
      </w:tr>
      <w:tr w:rsidR="003462F8" w:rsidRPr="00871D84" w14:paraId="06D62449" w14:textId="77777777" w:rsidTr="002125DD">
        <w:trPr>
          <w:trHeight w:val="590"/>
        </w:trPr>
        <w:tc>
          <w:tcPr>
            <w:tcW w:w="1984" w:type="dxa"/>
            <w:tcBorders>
              <w:top w:val="single" w:sz="8" w:space="0" w:color="000000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553C" w14:textId="77777777" w:rsidR="003462F8" w:rsidRPr="00983140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Insurance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9E56" w14:textId="1A64A6CE" w:rsidR="003462F8" w:rsidRPr="00983140" w:rsidRDefault="002125DD" w:rsidP="00EA6369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sz w:val="24"/>
              </w:rPr>
            </w:pPr>
            <w:r w:rsidRPr="002125DD">
              <w:rPr>
                <w:rFonts w:eastAsia="Times New Roman" w:cs="Calibri"/>
                <w:sz w:val="24"/>
                <w:szCs w:val="24"/>
                <w:bdr w:val="none" w:sz="0" w:space="0" w:color="auto"/>
                <w:lang w:val="en-GB"/>
              </w:rPr>
              <w:t xml:space="preserve">Take out appropriate insurance to cover risks to </w:t>
            </w:r>
            <w:r w:rsidRPr="0001368A">
              <w:rPr>
                <w:rFonts w:eastAsia="Times New Roman" w:cs="Calibri"/>
                <w:sz w:val="24"/>
                <w:szCs w:val="24"/>
                <w:bdr w:val="none" w:sz="0" w:space="0" w:color="auto"/>
              </w:rPr>
              <w:t xml:space="preserve">the </w:t>
            </w:r>
            <w:r w:rsidR="00EA6369">
              <w:rPr>
                <w:rFonts w:eastAsia="Times New Roman" w:cs="Calibri"/>
                <w:sz w:val="24"/>
                <w:szCs w:val="24"/>
                <w:bdr w:val="none" w:sz="0" w:space="0" w:color="auto"/>
              </w:rPr>
              <w:t xml:space="preserve">MUGA and </w:t>
            </w:r>
            <w:r w:rsidRPr="0001368A">
              <w:rPr>
                <w:rFonts w:eastAsia="Times New Roman" w:cs="Calibri"/>
                <w:sz w:val="24"/>
                <w:szCs w:val="24"/>
                <w:bdr w:val="none" w:sz="0" w:space="0" w:color="auto"/>
              </w:rPr>
              <w:t xml:space="preserve">clubhouse, and any other risks identified by </w:t>
            </w:r>
            <w:r>
              <w:rPr>
                <w:rFonts w:eastAsia="Times New Roman" w:cs="Calibri"/>
                <w:sz w:val="24"/>
                <w:szCs w:val="24"/>
                <w:bdr w:val="none" w:sz="0" w:space="0" w:color="auto"/>
              </w:rPr>
              <w:t>PSE CC</w:t>
            </w:r>
            <w:r w:rsidRPr="0001368A">
              <w:rPr>
                <w:rFonts w:eastAsia="Times New Roman" w:cs="Calibri"/>
                <w:sz w:val="24"/>
                <w:szCs w:val="24"/>
                <w:bdr w:val="none" w:sz="0" w:space="0" w:color="auto"/>
              </w:rPr>
              <w:t>.</w:t>
            </w:r>
            <w:r w:rsidR="00F872D3" w:rsidRPr="00871D84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462F8" w:rsidRPr="00871D84" w14:paraId="270809F3" w14:textId="77777777" w:rsidTr="002125DD">
        <w:trPr>
          <w:trHeight w:val="828"/>
        </w:trPr>
        <w:tc>
          <w:tcPr>
            <w:tcW w:w="19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AC3B" w14:textId="77777777" w:rsidR="003462F8" w:rsidRPr="00EA6369" w:rsidRDefault="003C5019">
            <w:pPr>
              <w:pStyle w:val="ListParagraph"/>
              <w:ind w:left="0"/>
              <w:rPr>
                <w:sz w:val="24"/>
              </w:rPr>
            </w:pPr>
            <w:r w:rsidRPr="00EA6369">
              <w:rPr>
                <w:sz w:val="24"/>
              </w:rPr>
              <w:t>Electric costs and Electric certification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DBBF" w14:textId="225FFCC9" w:rsidR="003462F8" w:rsidRPr="00871D84" w:rsidRDefault="003C5019" w:rsidP="00111857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>Community Council to obtain</w:t>
            </w:r>
            <w:r w:rsidR="00EA6369">
              <w:rPr>
                <w:rFonts w:cs="Calibri"/>
                <w:sz w:val="24"/>
                <w:szCs w:val="24"/>
              </w:rPr>
              <w:t xml:space="preserve"> </w:t>
            </w:r>
            <w:r w:rsidR="00111857" w:rsidRPr="00871D84">
              <w:rPr>
                <w:rFonts w:cs="Calibri"/>
                <w:sz w:val="24"/>
                <w:szCs w:val="24"/>
              </w:rPr>
              <w:t>statutory</w:t>
            </w:r>
            <w:r w:rsidRPr="00871D84">
              <w:rPr>
                <w:rFonts w:cs="Calibri"/>
                <w:sz w:val="24"/>
                <w:szCs w:val="24"/>
              </w:rPr>
              <w:t xml:space="preserve"> certificates</w:t>
            </w:r>
            <w:r w:rsidR="00111857" w:rsidRPr="00871D84">
              <w:rPr>
                <w:rFonts w:cs="Calibri"/>
                <w:sz w:val="24"/>
                <w:szCs w:val="24"/>
              </w:rPr>
              <w:t xml:space="preserve"> and </w:t>
            </w:r>
            <w:r w:rsidRPr="00871D84">
              <w:rPr>
                <w:rFonts w:cs="Calibri"/>
                <w:sz w:val="24"/>
                <w:szCs w:val="24"/>
              </w:rPr>
              <w:t>arrange for necessary inspections</w:t>
            </w:r>
            <w:r w:rsidR="00111857" w:rsidRPr="00871D84">
              <w:rPr>
                <w:rFonts w:cs="Calibri"/>
                <w:sz w:val="24"/>
                <w:szCs w:val="24"/>
              </w:rPr>
              <w:t xml:space="preserve">. </w:t>
            </w:r>
            <w:r w:rsidRPr="00871D84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485293" w:rsidRPr="00871D84" w14:paraId="01743D3B" w14:textId="77777777" w:rsidTr="00983140">
        <w:trPr>
          <w:trHeight w:val="764"/>
        </w:trPr>
        <w:tc>
          <w:tcPr>
            <w:tcW w:w="19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DB46" w14:textId="77777777" w:rsidR="00485293" w:rsidRPr="00485293" w:rsidRDefault="00485293" w:rsidP="00485293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 w:rsidRPr="00485293">
              <w:rPr>
                <w:rFonts w:cs="Calibri"/>
                <w:sz w:val="24"/>
                <w:szCs w:val="24"/>
              </w:rPr>
              <w:t>Fire Safety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49F0" w14:textId="0C120220" w:rsidR="00485293" w:rsidRPr="005C7C5B" w:rsidRDefault="00485293" w:rsidP="005C7C5B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485293">
              <w:rPr>
                <w:rFonts w:cs="Calibri"/>
                <w:sz w:val="24"/>
                <w:szCs w:val="24"/>
              </w:rPr>
              <w:t>To ensure all fire safety standards are met and reviewed in line with statutory requirements</w:t>
            </w:r>
            <w:r w:rsidR="005C7C5B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  <w:tr w:rsidR="003462F8" w:rsidRPr="00871D84" w14:paraId="2B6BE966" w14:textId="77777777" w:rsidTr="00983140">
        <w:trPr>
          <w:trHeight w:val="665"/>
        </w:trPr>
        <w:tc>
          <w:tcPr>
            <w:tcW w:w="19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87C4" w14:textId="77777777" w:rsidR="003462F8" w:rsidRPr="00EA6369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Water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57E7" w14:textId="5E192F0F" w:rsidR="003462F8" w:rsidRPr="00871D84" w:rsidRDefault="003C5019" w:rsidP="008B0EEF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>To</w:t>
            </w:r>
            <w:r w:rsidR="00111857" w:rsidRPr="00871D84">
              <w:rPr>
                <w:rFonts w:cs="Calibri"/>
                <w:sz w:val="24"/>
                <w:szCs w:val="24"/>
              </w:rPr>
              <w:t xml:space="preserve"> </w:t>
            </w:r>
            <w:r w:rsidRPr="00871D84">
              <w:rPr>
                <w:rFonts w:cs="Calibri"/>
                <w:sz w:val="24"/>
                <w:szCs w:val="24"/>
              </w:rPr>
              <w:t xml:space="preserve">maintain an adequate water supply. </w:t>
            </w:r>
          </w:p>
        </w:tc>
      </w:tr>
      <w:tr w:rsidR="003462F8" w:rsidRPr="00871D84" w14:paraId="2AAA27EF" w14:textId="77777777" w:rsidTr="00EA6369">
        <w:trPr>
          <w:trHeight w:val="2730"/>
        </w:trPr>
        <w:tc>
          <w:tcPr>
            <w:tcW w:w="19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B589" w14:textId="77777777" w:rsidR="003462F8" w:rsidRPr="00EA6369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General maintenance and repairs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2D8D" w14:textId="77777777" w:rsidR="003462F8" w:rsidRPr="00871D84" w:rsidRDefault="003C5019" w:rsidP="008B0EEF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To coordinate Vale of Glamorgan Council MUGA inspections to identify any required repairs. </w:t>
            </w:r>
          </w:p>
          <w:p w14:paraId="0F4A3977" w14:textId="77777777" w:rsidR="003462F8" w:rsidRPr="00871D84" w:rsidRDefault="003C5019" w:rsidP="008B0EEF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To prepare an annual maintenance plan for the MUGA for agreement with </w:t>
            </w:r>
            <w:proofErr w:type="spellStart"/>
            <w:r w:rsidRPr="00871D84">
              <w:rPr>
                <w:rFonts w:cs="Calibri"/>
                <w:sz w:val="24"/>
                <w:szCs w:val="24"/>
              </w:rPr>
              <w:t>TaSC</w:t>
            </w:r>
            <w:proofErr w:type="spellEnd"/>
            <w:r w:rsidRPr="00871D84">
              <w:rPr>
                <w:rFonts w:cs="Calibri"/>
                <w:sz w:val="24"/>
                <w:szCs w:val="24"/>
              </w:rPr>
              <w:t xml:space="preserve"> and coordinate necessary works to be undertaken. </w:t>
            </w:r>
          </w:p>
          <w:p w14:paraId="2D8B4965" w14:textId="77777777" w:rsidR="003462F8" w:rsidRPr="00871D84" w:rsidRDefault="003C5019" w:rsidP="008B0EEF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To recoup maintenance costs from </w:t>
            </w:r>
            <w:proofErr w:type="spellStart"/>
            <w:r w:rsidRPr="00871D84">
              <w:rPr>
                <w:rFonts w:cs="Calibri"/>
                <w:sz w:val="24"/>
                <w:szCs w:val="24"/>
              </w:rPr>
              <w:t>TaSC</w:t>
            </w:r>
            <w:proofErr w:type="spellEnd"/>
            <w:r w:rsidRPr="00871D84">
              <w:rPr>
                <w:rFonts w:cs="Calibri"/>
                <w:sz w:val="24"/>
                <w:szCs w:val="24"/>
              </w:rPr>
              <w:t xml:space="preserve"> where directly related to the MUGA.</w:t>
            </w:r>
          </w:p>
          <w:p w14:paraId="6375AB6E" w14:textId="77777777" w:rsidR="003462F8" w:rsidRPr="00871D84" w:rsidRDefault="003C5019" w:rsidP="008B0EEF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Where appropriate, seek a contribution towards indirect costs. </w:t>
            </w:r>
          </w:p>
          <w:p w14:paraId="538B8640" w14:textId="195F7DFA" w:rsidR="00AF4974" w:rsidRPr="00871D84" w:rsidRDefault="00AF4974" w:rsidP="008B0EEF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485293">
              <w:rPr>
                <w:rFonts w:cs="Calibri"/>
                <w:sz w:val="24"/>
                <w:szCs w:val="24"/>
              </w:rPr>
              <w:t>Be ultimately responsible for maintenance to a safe standard</w:t>
            </w:r>
            <w:r w:rsidR="00050F82">
              <w:rPr>
                <w:rFonts w:cs="Calibri"/>
                <w:sz w:val="24"/>
                <w:szCs w:val="24"/>
              </w:rPr>
              <w:t>.</w:t>
            </w:r>
          </w:p>
        </w:tc>
      </w:tr>
      <w:tr w:rsidR="003462F8" w:rsidRPr="00871D84" w14:paraId="4CEBC6FA" w14:textId="77777777" w:rsidTr="00EA6369">
        <w:trPr>
          <w:trHeight w:val="726"/>
        </w:trPr>
        <w:tc>
          <w:tcPr>
            <w:tcW w:w="19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AB7C4" w14:textId="77777777" w:rsidR="003462F8" w:rsidRPr="00EA6369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Safe access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C007" w14:textId="10D381AB" w:rsidR="0093382E" w:rsidRPr="00871D84" w:rsidRDefault="003C5019" w:rsidP="00111857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Provide and maintain safe access to and from the MUGA for all users. </w:t>
            </w:r>
          </w:p>
        </w:tc>
      </w:tr>
      <w:tr w:rsidR="003462F8" w:rsidRPr="00871D84" w14:paraId="463653B8" w14:textId="77777777" w:rsidTr="00EA6369">
        <w:trPr>
          <w:trHeight w:val="836"/>
        </w:trPr>
        <w:tc>
          <w:tcPr>
            <w:tcW w:w="19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3705" w14:textId="77777777" w:rsidR="003462F8" w:rsidRPr="00EA6369" w:rsidRDefault="003C5019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Fundraising </w:t>
            </w:r>
          </w:p>
        </w:tc>
        <w:tc>
          <w:tcPr>
            <w:tcW w:w="6946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257E" w14:textId="1D22347F" w:rsidR="003462F8" w:rsidRPr="00871D84" w:rsidRDefault="002F113A" w:rsidP="00F872D3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Support </w:t>
            </w:r>
            <w:r w:rsidR="003C5019" w:rsidRPr="00871D84">
              <w:rPr>
                <w:rFonts w:cs="Calibri"/>
                <w:sz w:val="24"/>
                <w:szCs w:val="24"/>
              </w:rPr>
              <w:t xml:space="preserve">fundraising events to boost revenue for the maintenance of the MUGA. </w:t>
            </w:r>
          </w:p>
          <w:p w14:paraId="23747842" w14:textId="20AD1BAD" w:rsidR="002F113A" w:rsidRPr="00871D84" w:rsidRDefault="002F113A" w:rsidP="00F872D3">
            <w:pPr>
              <w:pStyle w:val="BodyA"/>
              <w:numPr>
                <w:ilvl w:val="0"/>
                <w:numId w:val="12"/>
              </w:numPr>
              <w:suppressAutoHyphens/>
              <w:ind w:left="498" w:hanging="421"/>
              <w:outlineLvl w:val="0"/>
              <w:rPr>
                <w:rFonts w:cs="Calibri"/>
                <w:sz w:val="24"/>
                <w:szCs w:val="24"/>
              </w:rPr>
            </w:pPr>
            <w:r w:rsidRPr="00871D84">
              <w:rPr>
                <w:rFonts w:cs="Calibri"/>
                <w:sz w:val="24"/>
                <w:szCs w:val="24"/>
              </w:rPr>
              <w:t xml:space="preserve">Submit grant applications for appropriate funding. </w:t>
            </w:r>
          </w:p>
        </w:tc>
      </w:tr>
    </w:tbl>
    <w:p w14:paraId="2D368838" w14:textId="77777777" w:rsidR="003462F8" w:rsidRPr="00871D84" w:rsidRDefault="003462F8">
      <w:pPr>
        <w:pStyle w:val="ListParagraph"/>
        <w:widowControl w:val="0"/>
        <w:ind w:left="108" w:hanging="108"/>
        <w:rPr>
          <w:rFonts w:eastAsia="Helvetica Neue" w:cs="Calibri"/>
          <w:sz w:val="24"/>
          <w:szCs w:val="24"/>
        </w:rPr>
      </w:pPr>
    </w:p>
    <w:p w14:paraId="2014A609" w14:textId="6BD34CAC" w:rsidR="003462F8" w:rsidRPr="00871D84" w:rsidRDefault="003462F8">
      <w:pPr>
        <w:pStyle w:val="ListParagraph"/>
        <w:ind w:left="0"/>
        <w:rPr>
          <w:rFonts w:eastAsia="Helvetica Neue" w:cs="Calibri"/>
          <w:sz w:val="24"/>
          <w:szCs w:val="24"/>
        </w:rPr>
      </w:pPr>
    </w:p>
    <w:p w14:paraId="53326B01" w14:textId="77777777" w:rsidR="003462F8" w:rsidRPr="00EA6369" w:rsidRDefault="003462F8">
      <w:pPr>
        <w:pStyle w:val="ListParagraph"/>
        <w:ind w:left="0"/>
        <w:rPr>
          <w:sz w:val="24"/>
        </w:rPr>
      </w:pPr>
    </w:p>
    <w:p w14:paraId="503FE6FF" w14:textId="77777777" w:rsidR="003462F8" w:rsidRPr="00EA6369" w:rsidRDefault="003462F8">
      <w:pPr>
        <w:pStyle w:val="ListParagraph"/>
        <w:ind w:left="0"/>
        <w:rPr>
          <w:sz w:val="24"/>
        </w:rPr>
      </w:pPr>
    </w:p>
    <w:p w14:paraId="3E8D921D" w14:textId="6DE9B2EF" w:rsidR="003462F8" w:rsidRPr="00E561A0" w:rsidRDefault="00F90790">
      <w:pPr>
        <w:pStyle w:val="BodyB"/>
        <w:spacing w:before="0"/>
        <w:rPr>
          <w:rFonts w:ascii="Calibri" w:hAnsi="Calibri" w:cs="Calibri"/>
          <w:i/>
          <w:iCs/>
        </w:rPr>
      </w:pPr>
      <w:r w:rsidRPr="00EA6369">
        <w:rPr>
          <w:rFonts w:ascii="Calibri" w:hAnsi="Calibri"/>
        </w:rPr>
        <w:t xml:space="preserve">End </w:t>
      </w:r>
      <w:r w:rsidR="00F872D3" w:rsidRPr="00871D84">
        <w:rPr>
          <w:rFonts w:ascii="Calibri" w:hAnsi="Calibri" w:cs="Calibri"/>
        </w:rPr>
        <w:t>of</w:t>
      </w:r>
      <w:r w:rsidRPr="00EA6369">
        <w:rPr>
          <w:rFonts w:ascii="Calibri" w:hAnsi="Calibri"/>
        </w:rPr>
        <w:t xml:space="preserve"> Document</w:t>
      </w:r>
      <w:r w:rsidR="003C5019" w:rsidRPr="00EA6369">
        <w:rPr>
          <w:rFonts w:ascii="Calibri" w:hAnsi="Calibri"/>
        </w:rPr>
        <w:tab/>
      </w:r>
      <w:r w:rsidR="00E561A0">
        <w:rPr>
          <w:rFonts w:ascii="Calibri" w:hAnsi="Calibri"/>
          <w:i/>
          <w:iCs/>
        </w:rPr>
        <w:t>Final draft 24/5/21</w:t>
      </w:r>
    </w:p>
    <w:sectPr w:rsidR="003462F8" w:rsidRPr="00E561A0"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90538" w14:textId="77777777" w:rsidR="00A72FBF" w:rsidRDefault="00A72FBF">
      <w:r>
        <w:separator/>
      </w:r>
    </w:p>
  </w:endnote>
  <w:endnote w:type="continuationSeparator" w:id="0">
    <w:p w14:paraId="0BD90305" w14:textId="77777777" w:rsidR="00A72FBF" w:rsidRDefault="00A72FBF">
      <w:r>
        <w:continuationSeparator/>
      </w:r>
    </w:p>
  </w:endnote>
  <w:endnote w:type="continuationNotice" w:id="1">
    <w:p w14:paraId="2F9E914F" w14:textId="77777777" w:rsidR="00A72FBF" w:rsidRDefault="00A72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198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4"/>
        <w:szCs w:val="24"/>
      </w:rPr>
    </w:sdtEndPr>
    <w:sdtContent>
      <w:p w14:paraId="344713F3" w14:textId="7CDB7B77" w:rsidR="00E52750" w:rsidRPr="00E52750" w:rsidRDefault="00E5275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4"/>
            <w:szCs w:val="24"/>
          </w:rPr>
        </w:pPr>
        <w:r w:rsidRPr="00E52750">
          <w:rPr>
            <w:sz w:val="24"/>
            <w:szCs w:val="24"/>
          </w:rPr>
          <w:fldChar w:fldCharType="begin"/>
        </w:r>
        <w:r w:rsidRPr="00E52750">
          <w:rPr>
            <w:sz w:val="24"/>
            <w:szCs w:val="24"/>
          </w:rPr>
          <w:instrText xml:space="preserve"> PAGE   \* MERGEFORMAT </w:instrText>
        </w:r>
        <w:r w:rsidRPr="00E52750">
          <w:rPr>
            <w:sz w:val="24"/>
            <w:szCs w:val="24"/>
          </w:rPr>
          <w:fldChar w:fldCharType="separate"/>
        </w:r>
        <w:r w:rsidR="00AF3D1E">
          <w:rPr>
            <w:noProof/>
            <w:sz w:val="24"/>
            <w:szCs w:val="24"/>
          </w:rPr>
          <w:t>1</w:t>
        </w:r>
        <w:r w:rsidRPr="00E52750">
          <w:rPr>
            <w:noProof/>
            <w:sz w:val="24"/>
            <w:szCs w:val="24"/>
          </w:rPr>
          <w:fldChar w:fldCharType="end"/>
        </w:r>
        <w:r w:rsidRPr="00E52750">
          <w:rPr>
            <w:sz w:val="24"/>
            <w:szCs w:val="24"/>
          </w:rPr>
          <w:t xml:space="preserve"> | </w:t>
        </w:r>
        <w:r w:rsidRPr="00E52750">
          <w:rPr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7C7EBAEF" w14:textId="0776E5CA" w:rsidR="003462F8" w:rsidRDefault="003462F8">
    <w:pPr>
      <w:pStyle w:val="Footer"/>
      <w:tabs>
        <w:tab w:val="clear" w:pos="9026"/>
        <w:tab w:val="right" w:pos="900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8B7C" w14:textId="77777777" w:rsidR="00A72FBF" w:rsidRDefault="00A72FBF">
      <w:r>
        <w:separator/>
      </w:r>
    </w:p>
  </w:footnote>
  <w:footnote w:type="continuationSeparator" w:id="0">
    <w:p w14:paraId="7224961A" w14:textId="77777777" w:rsidR="00A72FBF" w:rsidRDefault="00A72FBF">
      <w:r>
        <w:continuationSeparator/>
      </w:r>
    </w:p>
  </w:footnote>
  <w:footnote w:type="continuationNotice" w:id="1">
    <w:p w14:paraId="7B88629A" w14:textId="77777777" w:rsidR="00A72FBF" w:rsidRDefault="00A72FBF"/>
  </w:footnote>
  <w:footnote w:id="2">
    <w:p w14:paraId="3980B8A5" w14:textId="089400A7" w:rsidR="00B724C5" w:rsidRPr="00B724C5" w:rsidRDefault="00B724C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‘</w:t>
      </w:r>
      <w:r>
        <w:rPr>
          <w:lang w:val="en-GB"/>
        </w:rPr>
        <w:t xml:space="preserve">Local’ </w:t>
      </w:r>
      <w:proofErr w:type="gramStart"/>
      <w:r>
        <w:rPr>
          <w:lang w:val="en-GB"/>
        </w:rPr>
        <w:t>means the communities</w:t>
      </w:r>
      <w:proofErr w:type="gramEnd"/>
      <w:r>
        <w:rPr>
          <w:lang w:val="en-GB"/>
        </w:rPr>
        <w:t xml:space="preserve"> of St Brides </w:t>
      </w:r>
      <w:r w:rsidR="00F872D3">
        <w:rPr>
          <w:lang w:val="en-GB"/>
        </w:rPr>
        <w:t>s</w:t>
      </w:r>
      <w:r>
        <w:rPr>
          <w:lang w:val="en-GB"/>
        </w:rPr>
        <w:t xml:space="preserve">uper-Ely, Peterston-super-Ely and Pendoylan.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D9"/>
    <w:multiLevelType w:val="hybridMultilevel"/>
    <w:tmpl w:val="5B14A044"/>
    <w:numStyleLink w:val="ImportedStyle1"/>
  </w:abstractNum>
  <w:abstractNum w:abstractNumId="1">
    <w:nsid w:val="05C90E13"/>
    <w:multiLevelType w:val="hybridMultilevel"/>
    <w:tmpl w:val="3F5CFE14"/>
    <w:numStyleLink w:val="ImportedStyle3"/>
  </w:abstractNum>
  <w:abstractNum w:abstractNumId="2">
    <w:nsid w:val="0CA67EB6"/>
    <w:multiLevelType w:val="hybridMultilevel"/>
    <w:tmpl w:val="BDDC3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2C17"/>
    <w:multiLevelType w:val="hybridMultilevel"/>
    <w:tmpl w:val="5B14A044"/>
    <w:styleLink w:val="ImportedStyle1"/>
    <w:lvl w:ilvl="0" w:tplc="BD90D3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E2E9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8E016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30C8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CF1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6A765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CB55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C858E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4831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67219C"/>
    <w:multiLevelType w:val="hybridMultilevel"/>
    <w:tmpl w:val="3F5CFE14"/>
    <w:styleLink w:val="ImportedStyle3"/>
    <w:lvl w:ilvl="0" w:tplc="D2F21EB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16E78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10E79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800B0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02DA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EC0B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464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CCD70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7CEA8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FD369F6"/>
    <w:multiLevelType w:val="hybridMultilevel"/>
    <w:tmpl w:val="90300CEA"/>
    <w:styleLink w:val="Bullets"/>
    <w:lvl w:ilvl="0" w:tplc="C520E2F2">
      <w:start w:val="1"/>
      <w:numFmt w:val="upperRoman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FEB508">
      <w:start w:val="1"/>
      <w:numFmt w:val="upperRoman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78A87C">
      <w:start w:val="1"/>
      <w:numFmt w:val="upperRoman"/>
      <w:lvlText w:val="%3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7C319A">
      <w:start w:val="1"/>
      <w:numFmt w:val="upperRoman"/>
      <w:lvlText w:val="%4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C6080">
      <w:start w:val="1"/>
      <w:numFmt w:val="upperRoman"/>
      <w:lvlText w:val="%5)"/>
      <w:lvlJc w:val="left"/>
      <w:pPr>
        <w:ind w:left="2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688A54">
      <w:start w:val="1"/>
      <w:numFmt w:val="upperRoman"/>
      <w:lvlText w:val="%6)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300604">
      <w:start w:val="1"/>
      <w:numFmt w:val="upperRoman"/>
      <w:lvlText w:val="%7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9CA4D2">
      <w:start w:val="1"/>
      <w:numFmt w:val="upperRoman"/>
      <w:lvlText w:val="%8)"/>
      <w:lvlJc w:val="left"/>
      <w:pPr>
        <w:ind w:left="4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5C6346">
      <w:start w:val="1"/>
      <w:numFmt w:val="upperRoman"/>
      <w:lvlText w:val="%9)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A047B53"/>
    <w:multiLevelType w:val="hybridMultilevel"/>
    <w:tmpl w:val="99EED400"/>
    <w:numStyleLink w:val="ImportedStyle2"/>
  </w:abstractNum>
  <w:abstractNum w:abstractNumId="7">
    <w:nsid w:val="3E9D5295"/>
    <w:multiLevelType w:val="hybridMultilevel"/>
    <w:tmpl w:val="37089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35A"/>
    <w:multiLevelType w:val="hybridMultilevel"/>
    <w:tmpl w:val="BDDC3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76F26"/>
    <w:multiLevelType w:val="hybridMultilevel"/>
    <w:tmpl w:val="99EED400"/>
    <w:styleLink w:val="ImportedStyle2"/>
    <w:lvl w:ilvl="0" w:tplc="BC1C1C5C">
      <w:start w:val="1"/>
      <w:numFmt w:val="low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8CD86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42053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E67D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946E2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CE61F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1AA49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2195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26CBC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62C6FF6"/>
    <w:multiLevelType w:val="hybridMultilevel"/>
    <w:tmpl w:val="E0A0E734"/>
    <w:lvl w:ilvl="0" w:tplc="65CE2C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85003"/>
    <w:multiLevelType w:val="hybridMultilevel"/>
    <w:tmpl w:val="90300CEA"/>
    <w:numStyleLink w:val="Bullets"/>
  </w:abstractNum>
  <w:abstractNum w:abstractNumId="12">
    <w:nsid w:val="7B0B30DB"/>
    <w:multiLevelType w:val="hybridMultilevel"/>
    <w:tmpl w:val="37089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0"/>
    <w:lvlOverride w:ilvl="0">
      <w:startOverride w:val="2"/>
    </w:lvlOverride>
  </w:num>
  <w:num w:numId="8">
    <w:abstractNumId w:val="4"/>
  </w:num>
  <w:num w:numId="9">
    <w:abstractNumId w:val="1"/>
  </w:num>
  <w:num w:numId="10">
    <w:abstractNumId w:val="0"/>
    <w:lvlOverride w:ilvl="0">
      <w:startOverride w:val="3"/>
    </w:lvlOverride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1368A"/>
    <w:rsid w:val="00033273"/>
    <w:rsid w:val="00050F82"/>
    <w:rsid w:val="000552CD"/>
    <w:rsid w:val="00072511"/>
    <w:rsid w:val="000F0917"/>
    <w:rsid w:val="000F2BEB"/>
    <w:rsid w:val="001072FE"/>
    <w:rsid w:val="00111857"/>
    <w:rsid w:val="001656CC"/>
    <w:rsid w:val="001663B4"/>
    <w:rsid w:val="001B6A50"/>
    <w:rsid w:val="001F0B8C"/>
    <w:rsid w:val="002125DD"/>
    <w:rsid w:val="002253AB"/>
    <w:rsid w:val="00225FFA"/>
    <w:rsid w:val="00281EA9"/>
    <w:rsid w:val="00293E6E"/>
    <w:rsid w:val="002F113A"/>
    <w:rsid w:val="00330009"/>
    <w:rsid w:val="00334D03"/>
    <w:rsid w:val="003462F8"/>
    <w:rsid w:val="00363B29"/>
    <w:rsid w:val="003A6876"/>
    <w:rsid w:val="003C5019"/>
    <w:rsid w:val="003E2824"/>
    <w:rsid w:val="003E529B"/>
    <w:rsid w:val="00431B19"/>
    <w:rsid w:val="0045165E"/>
    <w:rsid w:val="00485293"/>
    <w:rsid w:val="004F74FD"/>
    <w:rsid w:val="00516AEA"/>
    <w:rsid w:val="0052598C"/>
    <w:rsid w:val="00525FD4"/>
    <w:rsid w:val="00533F34"/>
    <w:rsid w:val="005453B7"/>
    <w:rsid w:val="00581716"/>
    <w:rsid w:val="005C7C5B"/>
    <w:rsid w:val="005D16B5"/>
    <w:rsid w:val="00616B26"/>
    <w:rsid w:val="00630249"/>
    <w:rsid w:val="006313AC"/>
    <w:rsid w:val="00641C7B"/>
    <w:rsid w:val="006426A0"/>
    <w:rsid w:val="006643E2"/>
    <w:rsid w:val="006653E0"/>
    <w:rsid w:val="006E5E76"/>
    <w:rsid w:val="00744FE6"/>
    <w:rsid w:val="0075467F"/>
    <w:rsid w:val="00761E3B"/>
    <w:rsid w:val="007C2B32"/>
    <w:rsid w:val="00871D84"/>
    <w:rsid w:val="008B0EEF"/>
    <w:rsid w:val="008C36EF"/>
    <w:rsid w:val="008F3780"/>
    <w:rsid w:val="008F71DC"/>
    <w:rsid w:val="0093382E"/>
    <w:rsid w:val="00945544"/>
    <w:rsid w:val="00983140"/>
    <w:rsid w:val="009A18A3"/>
    <w:rsid w:val="009A26C2"/>
    <w:rsid w:val="009A6E6F"/>
    <w:rsid w:val="009D621B"/>
    <w:rsid w:val="009E0990"/>
    <w:rsid w:val="009F1BBE"/>
    <w:rsid w:val="009F4E16"/>
    <w:rsid w:val="00A57045"/>
    <w:rsid w:val="00A67C1D"/>
    <w:rsid w:val="00A70E39"/>
    <w:rsid w:val="00A72FBF"/>
    <w:rsid w:val="00A828E2"/>
    <w:rsid w:val="00A82D81"/>
    <w:rsid w:val="00A83005"/>
    <w:rsid w:val="00AC66E2"/>
    <w:rsid w:val="00AF3D1E"/>
    <w:rsid w:val="00AF4974"/>
    <w:rsid w:val="00B266A8"/>
    <w:rsid w:val="00B31DCA"/>
    <w:rsid w:val="00B37470"/>
    <w:rsid w:val="00B724C5"/>
    <w:rsid w:val="00BA1A47"/>
    <w:rsid w:val="00BA7BE4"/>
    <w:rsid w:val="00BB5AFC"/>
    <w:rsid w:val="00BD69B7"/>
    <w:rsid w:val="00C05CA2"/>
    <w:rsid w:val="00C15B44"/>
    <w:rsid w:val="00C25329"/>
    <w:rsid w:val="00C278A4"/>
    <w:rsid w:val="00CA00F2"/>
    <w:rsid w:val="00CD0579"/>
    <w:rsid w:val="00D0088A"/>
    <w:rsid w:val="00D05B36"/>
    <w:rsid w:val="00D34F20"/>
    <w:rsid w:val="00D518DC"/>
    <w:rsid w:val="00D9025B"/>
    <w:rsid w:val="00D96554"/>
    <w:rsid w:val="00DD5EC1"/>
    <w:rsid w:val="00DE4E80"/>
    <w:rsid w:val="00E52750"/>
    <w:rsid w:val="00E561A0"/>
    <w:rsid w:val="00E94CE6"/>
    <w:rsid w:val="00EA6369"/>
    <w:rsid w:val="00EB5249"/>
    <w:rsid w:val="00ED44B6"/>
    <w:rsid w:val="00EF0F7B"/>
    <w:rsid w:val="00F16F91"/>
    <w:rsid w:val="00F212B2"/>
    <w:rsid w:val="00F872D3"/>
    <w:rsid w:val="00F90790"/>
    <w:rsid w:val="00F9249B"/>
    <w:rsid w:val="00F9503A"/>
    <w:rsid w:val="00FA167A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Bullets">
    <w:name w:val="Bullets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C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C2B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B3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3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B7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0B8C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4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4C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24C5"/>
    <w:rPr>
      <w:vertAlign w:val="superscript"/>
    </w:rPr>
  </w:style>
  <w:style w:type="paragraph" w:styleId="Revision">
    <w:name w:val="Revision"/>
    <w:hidden/>
    <w:uiPriority w:val="99"/>
    <w:semiHidden/>
    <w:rsid w:val="00431B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136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Bullets">
    <w:name w:val="Bullets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C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C2B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B3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3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B7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0B8C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4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4C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24C5"/>
    <w:rPr>
      <w:vertAlign w:val="superscript"/>
    </w:rPr>
  </w:style>
  <w:style w:type="paragraph" w:styleId="Revision">
    <w:name w:val="Revision"/>
    <w:hidden/>
    <w:uiPriority w:val="99"/>
    <w:semiHidden/>
    <w:rsid w:val="00431B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136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7EFA-6253-4B17-B8DB-EB390847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Abigail</dc:creator>
  <cp:lastModifiedBy>johnddrysdale@yahoo.co.uk</cp:lastModifiedBy>
  <cp:revision>2</cp:revision>
  <dcterms:created xsi:type="dcterms:W3CDTF">2021-08-14T10:45:00Z</dcterms:created>
  <dcterms:modified xsi:type="dcterms:W3CDTF">2021-08-14T10:45:00Z</dcterms:modified>
</cp:coreProperties>
</file>